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2023年上半年学校意识形态工作上总结</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意识形态是一种对事物的感观思想，它是观念、观点、概念、思想、价值观等要素的总和。本站今天为大家精心准备了2023年上半年学校意识形态工作上总结，希望对大家有所帮助!　　2023年上半年学校意识形态工作上总结　　为贯彻落实党中央和省、市、县委...</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意识形态是一种对事物的感观思想，它是观念、观点、概念、思想、价值观等要素的总和。本站今天为大家精心准备了2023年上半年学校意识形态工作上总结，希望对大家有所帮助![_TAG_h2]　　2023年上半年学校意识形态工作上总结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2023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2023年以来，我校在区委、区政府的正确领导下，按照区教体局的工作安排部署，坚持以习近平新时代中国特色社会主义思想为指导，全面贯彻党的十九大、省委、市委会议精神，坚定不移地贯彻“成资同城化”的新战略，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(一)党组织落实意识形态工作责任制方面的情况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民主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(二)党组织理论学习、研究方面的情况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组织应尽的政治责任、应有的政治担当，必须坚持原则、敢抓感管。在提倡什么、反对什么上旗帜鲜明，在大是大非问题上敢于发声，坚决克服“好人主义”，上推下蟹、敷衍塞责、养痈遗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学校根据支部意识形态工作要求，制定了相应的监督、考核、问责方案。工作落实到支部委员人头，与年终目标考核挂钩。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成效，但同时也存在一些问题：一是互联网、手机微信等新兴媒体的应用和引领管理在意识形态方面还需进一步探索。如有个别教师在网上不注意自己的言论;二是新形势下提高引领舆论的本领需要进一步增强。如有的教师对于舆论有跟风现象，不能正确加以判断;三是满足干部教师文化需求的工作还要进一步加强;四是部分老师固有思维方式改变和职业倦怠方面仍需要方式方法的创新和进一步引导。如有的教师教学中思维固化，不愿接受新知识、新方法、有消极怠工情绪存在;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下半年，我校意识形态工作必须围绕全年工作目标，着力在统一思想、凝聚力量、鼓舞干劲、增强实效上下功夫，不断激发全体教职工激情，为学校发展提供坚强有力的精神动力、思想保证和舆论支持。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(三)继续拓宽对外宣传渠道，不断提高学校知名度。</w:t>
      </w:r>
    </w:p>
    <w:p>
      <w:pPr>
        <w:ind w:left="0" w:right="0" w:firstLine="560"/>
        <w:spacing w:before="450" w:after="450" w:line="312" w:lineRule="auto"/>
      </w:pPr>
      <w:r>
        <w:rPr>
          <w:rFonts w:ascii="宋体" w:hAnsi="宋体" w:eastAsia="宋体" w:cs="宋体"/>
          <w:color w:val="000"/>
          <w:sz w:val="28"/>
          <w:szCs w:val="28"/>
        </w:rPr>
        <w:t xml:space="preserve">　　围绕“成资同城化”目标，抓好我校基础教育质量。扩大对外宣传渠道，增加学校影响力。</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