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2024环卫工作个人总结|2024上半年环卫公司总结</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工作总结就是把一个时间段的工作进行一次全面系统的分析整理。以下是本站小编为大家精心整理的2024上半年环卫公司总结，欢迎大家阅读，供您参考。更多精彩内容请关注本站。　　XX年，我公司在区绿容局和镇党委政府的领导下，各项工作正在全面有序的...</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工作总结就是把一个时间段的工作进行一次全面系统的分析整理。以下是本站小编为大家精心整理的2024上半年环卫公司总结，欢迎大家阅读，供您参考。更多精彩内容请关注本站。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　　一、继续执行区局“减量奖励、超额自付”的奖罚机制。依托三座压缩站的有力表现，xx镇的生活垃圾量每日控制在180吨以下。截止日前，1-5月的生活垃圾清运量为26249吨。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　　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　　二、居民生活垃圾分类工作已上正轨。目前xx镇有33个小区和14个集贸市场的生活垃圾分类在有序推进中，日分拣垃圾达10吨左右，且实行日产日清日统计的方式，1-5月共计分拣合格有机垃圾为1530吨。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　　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　　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　　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　　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　　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　　下半年计划：</w:t>
      </w:r>
    </w:p>
    <w:p>
      <w:pPr>
        <w:ind w:left="0" w:right="0" w:firstLine="560"/>
        <w:spacing w:before="450" w:after="450" w:line="312" w:lineRule="auto"/>
      </w:pPr>
      <w:r>
        <w:rPr>
          <w:rFonts w:ascii="宋体" w:hAnsi="宋体" w:eastAsia="宋体" w:cs="宋体"/>
          <w:color w:val="000"/>
          <w:sz w:val="28"/>
          <w:szCs w:val="28"/>
        </w:rPr>
        <w:t xml:space="preserve">　　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　　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　　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