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2024公务员年终总结2024字</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2024年7...</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2024年7月,我从学校走向工作岗位，在各级组织和领导的热心关怀下,我坚持继续学习,不断提升理论素养,努力实践,自觉进行角色转化,培养责任心，磨砺方法论，以不辜负组织和领导的殷切期望。</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　　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2024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　　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　　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　　今年三月份，我作为新招录公务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　　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　　我们在岛上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共产党员先进性教育活动学习小组，根据院里的进度，认真完成了规定动作和自选动作。并以此为契机，从保持党员先进性的高度去认识上岛锻炼活动，将上岛锻炼作为保持党员先进性、践行党员先进性的舞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