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2024年学校工作总结美篇 学校工作总结标题金句(五篇)</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学校工作总结美篇 学校工作总结标题金句一一、以“建廉洁教育，展园丁风采”活动为契机，强化队伍建设。1、抓好班子队伍建设。加强党风廉政建设和效能建设。认真贯彻落实中央“八项规定”，制订了南港中心校公务用车、公务接待等有关规定，严格控制超标准开...</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