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202_年编办主任述职述廉报告(5篇)</w:t>
      </w:r>
      <w:bookmarkEnd w:id="1"/>
    </w:p>
    <w:p>
      <w:pPr>
        <w:jc w:val="center"/>
        <w:spacing w:before="0" w:after="450"/>
      </w:pPr>
      <w:r>
        <w:rPr>
          <w:rFonts w:ascii="Arial" w:hAnsi="Arial" w:eastAsia="Arial" w:cs="Arial"/>
          <w:color w:val="999999"/>
          <w:sz w:val="20"/>
          <w:szCs w:val="20"/>
        </w:rPr>
        <w:t xml:space="preserve">来源：网络  作者：梦里花开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编办主任述职述廉报告篇一下午好!非常感谢院领导多年来对我的关怀与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编办主任述职述廉报告篇一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__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3、科学管理人员队伍，为有效调动工作积极性，强化服务意识，我们将对窗口收费人员进行绩效考核，依据工作量、病人满意度、日常工作表现等量化指标制定一系列绩效考评制度，考核结果与科室绩</w:t>
      </w:r>
    </w:p>
    <w:p>
      <w:pPr>
        <w:ind w:left="0" w:right="0" w:firstLine="560"/>
        <w:spacing w:before="450" w:after="450" w:line="312" w:lineRule="auto"/>
      </w:pPr>
      <w:r>
        <w:rPr>
          <w:rFonts w:ascii="宋体" w:hAnsi="宋体" w:eastAsia="宋体" w:cs="宋体"/>
          <w:color w:val="000"/>
          <w:sz w:val="28"/>
          <w:szCs w:val="28"/>
        </w:rPr>
        <w:t xml:space="preserve">效分配挂钩。</w:t>
      </w:r>
    </w:p>
    <w:p>
      <w:pPr>
        <w:ind w:left="0" w:right="0" w:firstLine="560"/>
        <w:spacing w:before="450" w:after="450" w:line="312" w:lineRule="auto"/>
      </w:pPr>
      <w:r>
        <w:rPr>
          <w:rFonts w:ascii="宋体" w:hAnsi="宋体" w:eastAsia="宋体" w:cs="宋体"/>
          <w:color w:val="000"/>
          <w:sz w:val="28"/>
          <w:szCs w:val="28"/>
        </w:rPr>
        <w:t xml:space="preserve">_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2021年_月_日</w:t>
      </w:r>
    </w:p>
    <w:p>
      <w:pPr>
        <w:ind w:left="0" w:right="0" w:firstLine="560"/>
        <w:spacing w:before="450" w:after="450" w:line="312" w:lineRule="auto"/>
      </w:pPr>
      <w:r>
        <w:rPr>
          <w:rFonts w:ascii="黑体" w:hAnsi="黑体" w:eastAsia="黑体" w:cs="黑体"/>
          <w:color w:val="000000"/>
          <w:sz w:val="34"/>
          <w:szCs w:val="34"/>
          <w:b w:val="1"/>
          <w:bCs w:val="1"/>
        </w:rPr>
        <w:t xml:space="preserve">编办主任述职述廉报告篇二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年新入网的面积进行核算，传递，准确计算应收的工程建设资金，保证资金的及时收取;配合工程科、技术科对20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编办主任述职述廉报告篇三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编办主任述职述廉报告篇四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认真学习党的“十九大”精神。通过认真研读、冷静思考，使我充分理解了_是我们党立党之本、执政之基、力量之源的深刻内涵;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影响及国家政策规定_期间减免行政事业性收费的严峻形势下，经过系统上下广大干部职工的共同努力，全系统共完成各项收入_万元，完成年度预算收入的%，超额完成年度预算收入万元，再创历史最高水平。其中：行政性收费完成_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_局机关的收支预算具有十分重要的意义。为此，在20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为改善机关办公条件，经过局领导和大家的共同努力，_局机关办公楼于20_年正式动工兴建了。办公楼的正式动工兴建，需要大量的资金投入，同时，由于政策性增资又需要大量资金，因此，经费显得十分紧张。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_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_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_局领导的充分肯定和高度赞扬，并专门在_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年度《会计法》执行情况检查;三是进行了建筑工程招投标和重大资金项目开支情况专项检查;四是为系统_个会计核算单位换发了罚没许可证正本_个、付本个;五是会同办公室收取职工购房款万元;六是为市局机关和_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们处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编办主任述职述廉报告篇五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_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2021年_月_日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2025-06-18T07:26:38+08:00</dcterms:created>
  <dcterms:modified xsi:type="dcterms:W3CDTF">2025-06-18T07:26:38+08:00</dcterms:modified>
</cp:coreProperties>
</file>

<file path=docProps/custom.xml><?xml version="1.0" encoding="utf-8"?>
<Properties xmlns="http://schemas.openxmlformats.org/officeDocument/2006/custom-properties" xmlns:vt="http://schemas.openxmlformats.org/officeDocument/2006/docPropsVTypes"/>
</file>