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普通党员2024年度组织生活会个人对照检查材料范文三篇</w:t>
      </w:r>
      <w:bookmarkEnd w:id="1"/>
    </w:p>
    <w:p>
      <w:pPr>
        <w:jc w:val="center"/>
        <w:spacing w:before="0" w:after="450"/>
      </w:pPr>
      <w:r>
        <w:rPr>
          <w:rFonts w:ascii="Arial" w:hAnsi="Arial" w:eastAsia="Arial" w:cs="Arial"/>
          <w:color w:val="999999"/>
          <w:sz w:val="20"/>
          <w:szCs w:val="20"/>
        </w:rPr>
        <w:t xml:space="preserve">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支部委员个人对照检查材料根据委党委的部署和要求,按照党支部安排,质安支队党支部依照组织生活会部署安排,通过集中学习和自学等方式组织党员进行学习。以下是小编为大家收集的普通党员20_年度组织生活会个人对照检查材料范文三篇，仅供参考，欢迎大家阅...</w:t>
      </w:r>
    </w:p>
    <w:p>
      <w:pPr>
        <w:ind w:left="0" w:right="0" w:firstLine="560"/>
        <w:spacing w:before="450" w:after="450" w:line="312" w:lineRule="auto"/>
      </w:pPr>
      <w:r>
        <w:rPr>
          <w:rFonts w:ascii="宋体" w:hAnsi="宋体" w:eastAsia="宋体" w:cs="宋体"/>
          <w:color w:val="000"/>
          <w:sz w:val="28"/>
          <w:szCs w:val="28"/>
        </w:rPr>
        <w:t xml:space="preserve">支部委员个人对照检查材料根据委党委的部署和要求,按照党支部安排,质安支队党支部依照组织生活会部署安排,通过集中学习和自学等方式组织党员进行学习。以下是小编为大家收集的普通党员20_年度组织生活会个人对照检查材料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2025-06-16T09:42:42+08:00</dcterms:created>
  <dcterms:modified xsi:type="dcterms:W3CDTF">2025-06-16T09:42:42+08:00</dcterms:modified>
</cp:coreProperties>
</file>

<file path=docProps/custom.xml><?xml version="1.0" encoding="utf-8"?>
<Properties xmlns="http://schemas.openxmlformats.org/officeDocument/2006/custom-properties" xmlns:vt="http://schemas.openxmlformats.org/officeDocument/2006/docPropsVTypes"/>
</file>