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歙县法治建设工作总结(实用50篇)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歙县法治建设工作总结1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（一）自觉接受党内监督、人大监督、民主监督、司法监督。切实履行主体责任，认真执行向县人大及其常委会报告工作制度。及时研究办理人大代表和政协委员提出的意见和建议。</w:t>
      </w:r>
    </w:p>
    <w:p>
      <w:pPr>
        <w:ind w:left="0" w:right="0" w:firstLine="560"/>
        <w:spacing w:before="450" w:after="450" w:line="312" w:lineRule="auto"/>
      </w:pPr>
      <w:r>
        <w:rPr>
          <w:rFonts w:ascii="宋体" w:hAnsi="宋体" w:eastAsia="宋体" w:cs="宋体"/>
          <w:color w:val="000"/>
          <w:sz w:val="28"/>
          <w:szCs w:val="28"/>
        </w:rPr>
        <w:t xml:space="preserve">（二）深化政务公开。落实一名副局长分管政府信息公开工作，办公室具体负责，配备专职工作人员，同时，各职能科室协助配合，促进政府信息公开工作有序开展。健全信息公开制度，做到按规定分类、时限及时发布信息，确保信息的时效性。截至目前，通过市政府门户网站信息公开专栏和本局网站向社会主动公开本部门信息xxx条。</w:t>
      </w:r>
    </w:p>
    <w:p>
      <w:pPr>
        <w:ind w:left="0" w:right="0" w:firstLine="560"/>
        <w:spacing w:before="450" w:after="450" w:line="312" w:lineRule="auto"/>
      </w:pPr>
      <w:r>
        <w:rPr>
          <w:rFonts w:ascii="宋体" w:hAnsi="宋体" w:eastAsia="宋体" w:cs="宋体"/>
          <w:color w:val="000"/>
          <w:sz w:val="28"/>
          <w:szCs w:val="28"/>
        </w:rPr>
        <w:t xml:space="preserve">（三）加强社会信用体系建设。进一步加强对我县社会组织的自治自律和诚信建设工作。一是完善法人治理，建立健全内部监督约束机制，开展法人资格培训，增强法人意识和能力。二是加强财务管理，社会组织成立时要在银行建立基本对公账户，进一步清理协会和行政单位的混管现象。三是规范业务范围，社会组织必须依据章程规定的范围开展活动，严禁摊派和强拉赞助现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歙县法治建设工作总结3</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歙县法治建设工作总结4</w:t>
      </w:r>
    </w:p>
    <w:p>
      <w:pPr>
        <w:ind w:left="0" w:right="0" w:firstLine="560"/>
        <w:spacing w:before="450" w:after="450" w:line="312" w:lineRule="auto"/>
      </w:pPr>
      <w:r>
        <w:rPr>
          <w:rFonts w:ascii="宋体" w:hAnsi="宋体" w:eastAsia="宋体" w:cs="宋体"/>
          <w:color w:val="000"/>
          <w:sz w:val="28"/>
          <w:szCs w:val="28"/>
        </w:rPr>
        <w:t xml:space="preserve">我市总面积平方公里，总人口118万人，辖17个镇（街)、343个村(社区）。近年来，我市扎实推进村民自治工作，加强基层群众的民主选举、民主决策、民主管理和民主监督，建立健全了基层自治组织和民主管理制度、办事公开制度，保障了人民群众依法行使民主权利。</w:t>
      </w:r>
    </w:p>
    <w:p>
      <w:pPr>
        <w:ind w:left="0" w:right="0" w:firstLine="560"/>
        <w:spacing w:before="450" w:after="450" w:line="312" w:lineRule="auto"/>
      </w:pPr>
      <w:r>
        <w:rPr>
          <w:rFonts w:ascii="宋体" w:hAnsi="宋体" w:eastAsia="宋体" w:cs="宋体"/>
          <w:color w:val="000"/>
          <w:sz w:val="28"/>
          <w:szCs w:val="28"/>
        </w:rPr>
        <w:t xml:space="preserve">（一）领导高度重视，认真落实村民自治制度。我市把《村民委员会组织法》列入市委、市政府重要议事日程，做到有领导、有组织、有计划地开展工作并注重实效，镇、村分别建立了相应的组织机构，明确了领导责任，落实了工作职责。同时，严格按照《_村民委员会组织法》规定，坚持依法办事，充分依靠村民力量，积极开展村民自治和民主管理活动，形成了民主选举、民主决策、民主管理、民主监督的良好局面。</w:t>
      </w:r>
    </w:p>
    <w:p>
      <w:pPr>
        <w:ind w:left="0" w:right="0" w:firstLine="560"/>
        <w:spacing w:before="450" w:after="450" w:line="312" w:lineRule="auto"/>
      </w:pPr>
      <w:r>
        <w:rPr>
          <w:rFonts w:ascii="宋体" w:hAnsi="宋体" w:eastAsia="宋体" w:cs="宋体"/>
          <w:color w:val="000"/>
          <w:sz w:val="28"/>
          <w:szCs w:val="28"/>
        </w:rPr>
        <w:t xml:space="preserve">（二）完善村民自治章程、村规民约，不断提高农村法制化管理水平。制定和印发了《阳春市关于开展村务民主化规范化管理工作的实施意见》。同时，在依法治村道路上，注重减少不和谐因素，实现经济和依法治理同步发展目标。一是发挥基层调解功能。为切实维护群众利益，各村村委班子充分发挥人民群众的调解作用，积极开展矛盾纠纷排查调解工作，有效化解各类矛盾纠纷。二是加强法律法规宣传。全市各村广泛开展《物权法》《土地管理法》《治安管理处罚条例》和《劳动法》等法律法规宣传，号召村民依法办事，树立良好的村风民风，自觉抵制歪风邪气，远离违法违纪行为。</w:t>
      </w:r>
    </w:p>
    <w:p>
      <w:pPr>
        <w:ind w:left="0" w:right="0" w:firstLine="560"/>
        <w:spacing w:before="450" w:after="450" w:line="312" w:lineRule="auto"/>
      </w:pPr>
      <w:r>
        <w:rPr>
          <w:rFonts w:ascii="宋体" w:hAnsi="宋体" w:eastAsia="宋体" w:cs="宋体"/>
          <w:color w:val="000"/>
          <w:sz w:val="28"/>
          <w:szCs w:val="28"/>
        </w:rPr>
        <w:t xml:space="preserve">（三)加强教育培训，增强村级组织自治能力。今年新一届村（居）委会班子产生后，各镇自6月15日起根据工作安排分别开展村（居）委会干部培训班，对当选干部就业务工作、当前形势发展情况分析及村(居）干部思想品德等方面进行培训，全市共有20xx人次参加。一是优化队伍结构。在村级班子人选的考虑上，注意选拔符合条件的农村优秀青年、复退军人担任村级干部，特别是在“培养春苗”工程上，今年共有65名“春苗”工程后备干部当选“两委”干部、当选率为，有效改善了村级干部队伍结构，增强了村干部队伍的整体素质。二是加大培训力度。以远程教育平台、市镇各类培训为基础，采取形式多样的学习教育培训，不断提高村干部的政策理论水平和履职尽责能力。三是培养后备力量。从新农村建设发展趋势出发，对适合新农村建设的人才进行培训和传帮带，为后续发展储备力量，保证村级组织的顺利有效运行。</w:t>
      </w:r>
    </w:p>
    <w:p>
      <w:pPr>
        <w:ind w:left="0" w:right="0" w:firstLine="560"/>
        <w:spacing w:before="450" w:after="450" w:line="312" w:lineRule="auto"/>
      </w:pPr>
      <w:r>
        <w:rPr>
          <w:rFonts w:ascii="宋体" w:hAnsi="宋体" w:eastAsia="宋体" w:cs="宋体"/>
          <w:color w:val="000"/>
          <w:sz w:val="28"/>
          <w:szCs w:val="28"/>
        </w:rPr>
        <w:t xml:space="preserve">（四）规范村务公开，促进农村稳定发展。我市认真贯彻落实《村民委员会组织法》和《广东省村务公开条例》，注重提高村务公开和民主管理水平，努力推进社会主义新农村建设。一是规范公开内容。按照全面公开、实事求是的原则，将村各项收入和支出情况、宅基地审批、扶贫救灾、抵保五保、计划生育、公益事业建设等与群众生活息息相关的内容进行公开。二是规范公开形式。为方便村民及时获知公开内容，我市各村均将村务公开栏固定设置在村民平常经过地点，定期公布村务活动及有关情况。三是规范公开程序。各村村务公开内容均按规定经村务监督小组审查确认后方能公布，未经审查通过的不得公布。</w:t>
      </w:r>
    </w:p>
    <w:p>
      <w:pPr>
        <w:ind w:left="0" w:right="0" w:firstLine="560"/>
        <w:spacing w:before="450" w:after="450" w:line="312" w:lineRule="auto"/>
      </w:pPr>
      <w:r>
        <w:rPr>
          <w:rFonts w:ascii="宋体" w:hAnsi="宋体" w:eastAsia="宋体" w:cs="宋体"/>
          <w:color w:val="000"/>
          <w:sz w:val="28"/>
          <w:szCs w:val="28"/>
        </w:rPr>
        <w:t xml:space="preserve">（五)依法民主选举“两委”干部。我市严格按照上级工作部署，切实加强组织领导，全面压实工作责任，全力做好村级换届选举工作。从今年1月开始，至6月15日全面完成全市344个村(社区）“两委”换届选举任务。换届选举工作体现了“三高两低”：一是“一肩挑”、“两委”交叉任职率高。选举产生的“两委”干部中，书记、主任“一肩挑”有301人，占；交叉任职的有931人，交叉率为89%。二是“春苗”工程后备干部当选率高。有65名“春苗”工程后备干部当选“两委”干部、当选率为。三是一次性选举成功率高。一次选举成功的有303个村（社区）、占。四是“两委”干部平均年龄低。新的“两委”干部平均年龄为岁，比换届前的平均岁大幅下降。五是60岁以上“两委”干部比例低。新的“两委”干部中年龄超过60岁的只有43人，占，远低于阳江市委组织部要求的5%的比例。</w:t>
      </w:r>
    </w:p>
    <w:p>
      <w:pPr>
        <w:ind w:left="0" w:right="0" w:firstLine="560"/>
        <w:spacing w:before="450" w:after="450" w:line="312" w:lineRule="auto"/>
      </w:pPr>
      <w:r>
        <w:rPr>
          <w:rFonts w:ascii="宋体" w:hAnsi="宋体" w:eastAsia="宋体" w:cs="宋体"/>
          <w:color w:val="000"/>
          <w:sz w:val="28"/>
          <w:szCs w:val="28"/>
        </w:rPr>
        <w:t xml:space="preserve">（一)健全政府职能转移和购买社会组织服务机制政策方面。传达贯彻阳江市财政局、阳江市民政局《转发关于支持和规范社会组织承接政府购买服务的通知》(阳财行〔20xx〕20号）、阳江市财政局、阳江市民政局、阳江市工商行政管理局转发关于印发《政府购买服务管理办法（暂行）》的通知（阳财行〔20xx〕27号）。20xx年10月20日，我市财政局《转发了关于做好行业协会商会承接政府购买服务工作有关问题的通知》（春财行〔20xx〕58号），推动我市社会组织承接政府职能转移和社会组织购买服务向前发展。</w:t>
      </w:r>
    </w:p>
    <w:p>
      <w:pPr>
        <w:ind w:left="0" w:right="0" w:firstLine="560"/>
        <w:spacing w:before="450" w:after="450" w:line="312" w:lineRule="auto"/>
      </w:pPr>
      <w:r>
        <w:rPr>
          <w:rFonts w:ascii="宋体" w:hAnsi="宋体" w:eastAsia="宋体" w:cs="宋体"/>
          <w:color w:val="000"/>
          <w:sz w:val="28"/>
          <w:szCs w:val="28"/>
        </w:rPr>
        <w:t xml:space="preserve">（二）群众对承接政府职能转移和购买服务的社会组织的服务满意度方面：我局组织发放了群众满意度测评表，实行不记名投票，从工作态度、工作效率、工作结果三个进行方面测评，满意度分别为、90%、，群众对承接政府职能转移和购买服务的社会组织的服务满意度较高。</w:t>
      </w:r>
    </w:p>
    <w:p>
      <w:pPr>
        <w:ind w:left="0" w:right="0" w:firstLine="560"/>
        <w:spacing w:before="450" w:after="450" w:line="312" w:lineRule="auto"/>
      </w:pPr>
      <w:r>
        <w:rPr>
          <w:rFonts w:ascii="宋体" w:hAnsi="宋体" w:eastAsia="宋体" w:cs="宋体"/>
          <w:color w:val="000"/>
          <w:sz w:val="28"/>
          <w:szCs w:val="28"/>
        </w:rPr>
        <w:t xml:space="preserve">（三)社会组织(含登记、备案社会组织）底数方面：截至11月30日，我市共有423个社会组织，其中社会团体100个、民办非企业单位207个、备案社会组织116个。依法登记了新的社会组织31个（其中社团8家，民办非企业单位23家）。我局全部按类别做了台账记录，社会组织的底数清，情况清晰明了。没有发生社会组织严重危害国家安全和社会稳定事件。</w:t>
      </w:r>
    </w:p>
    <w:p>
      <w:pPr>
        <w:ind w:left="0" w:right="0" w:firstLine="560"/>
        <w:spacing w:before="450" w:after="450" w:line="312" w:lineRule="auto"/>
      </w:pPr>
      <w:r>
        <w:rPr>
          <w:rFonts w:ascii="宋体" w:hAnsi="宋体" w:eastAsia="宋体" w:cs="宋体"/>
          <w:color w:val="000"/>
          <w:sz w:val="28"/>
          <w:szCs w:val="28"/>
        </w:rPr>
        <w:t xml:space="preserve">我市已印发《阳春市全面推开法治建设“四级同创”活动的实施方案》及深入开展法治市、镇（街)、村(社区）创建活动方案，我局下一步将严格按照法治市创建活动要求，加强组织领导，细化工作措施，力争为我市法治创建活动及法治建设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歙县法治建设工作总结5</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歙县法治建设工作总结6</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歙县法治建设工作总结7</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平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我校充分发挥学校红领巾广播站，平下讲话，黑板报及手抄报等宣传阵地的作用，开辟专栏，大张旗鼓地进行宣传和教育，力求使全校师生都能做到知法、守法、护法，依法办事。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歙县法治建设工作总结8</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法、谁主管谁普法”的普法责任机制，扎实开展普法教育工作，成立专项工作小组，强化普法工作队伍建设，结合公园城市建设和城市有机更新的新理念，加大法治宣传教育，有效推动法制工作的深入开展，营造“人人学法、人人守法”的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歙县法治建设工作总结9</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歙县法治建设工作总结10</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二)坚持法治思维，推进全警法治素养。一是抓住“关键少数”。曾欣副省长强调，不会运用法治思维、法治方式开展工作的公安领导干部，是不合格、不称职、不达标的，必然会丧失指挥权。市公安局党委依托理论中心组学习和第一综合党支部平台，开展集体学习宪法法律和党内法规，形成领导干部带头苦练法治基本功，带头尊法学法守法用法的良好氛围，各级领导干部运用法治思维和法治方式深化改革、推动发展、化解矛盾、维护稳定的能力不断提高。二是推进全警学法。市公安局依托省厅“今日学法辅导”和“执法规范化建设”栏目，及时在网页上整理转发每天发布的法律知识题和各地执法经验，推送给全市公安民警学习，在潜移默化中提升全警法治素养。结合每年新警入警、警衔晋升等举办民警培训班4期，受训民警300余人。局直各单位制定培训计划和开展业务培训、岗前培训、轮值轮训，均将法治建设作为培训重要内容。三是做强法制队伍。市公安局党委高度重视法制专业队伍建设，今年上半年，市局法制支队、XX港分局、下陆分局从基层办案部门遴选5名优秀青年民警到法制部门工作，极大缓解了法制部门警力短缺的问题;高度重视树立法制部门权威，严格落实“三个一律”：即法制部门负责人一律列席同级公安机关党委会、办公会，重大决策一律进行合法性审查和法律风险评估，疑难案件一律进行集体讨论、法律审核;高度重视法制员队伍建设，依据省厅下发的《关于建立法制警长(警员)命名制度的通知》，在全市推行“法制警长”“法制警员”命名制度。目前各分县市局“法制警长”“法制警员”已全部完成命名工作。</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歙县法治建设工作总结11</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歙县法治建设工作总结12</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今年我局已将气象法治建设相关内容列入到党组的必学内容并举办了气象法制培训，聘请法律顾问和政府_专家开展法治培训活动，着力提升干部职工气象依法行政水平。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按《_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歙县法治建设工作总结13</w:t>
      </w:r>
    </w:p>
    <w:p>
      <w:pPr>
        <w:ind w:left="0" w:right="0" w:firstLine="560"/>
        <w:spacing w:before="450" w:after="450" w:line="312" w:lineRule="auto"/>
      </w:pPr>
      <w:r>
        <w:rPr>
          <w:rFonts w:ascii="宋体" w:hAnsi="宋体" w:eastAsia="宋体" w:cs="宋体"/>
          <w:color w:val="000"/>
          <w:sz w:val="28"/>
          <w:szCs w:val="28"/>
        </w:rPr>
        <w:t xml:space="preserve">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歙县法治建设工作总结14</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歙县法治建设工作总结16</w:t>
      </w:r>
    </w:p>
    <w:p>
      <w:pPr>
        <w:ind w:left="0" w:right="0" w:firstLine="560"/>
        <w:spacing w:before="450" w:after="450" w:line="312" w:lineRule="auto"/>
      </w:pPr>
      <w:r>
        <w:rPr>
          <w:rFonts w:ascii="宋体" w:hAnsi="宋体" w:eastAsia="宋体" w:cs="宋体"/>
          <w:color w:val="000"/>
          <w:sz w:val="28"/>
          <w:szCs w:val="28"/>
        </w:rPr>
        <w:t xml:space="preserve">（一）严格执行重大行政决策法定程序。制定了《x县民政局重大行政决策程序规定实施办法》以及《x县民政局集体审批制度》，把公众参与、民主协商、专家论证、专业机构测评、风险评估、合法性审查和集体讨论决定作为重大决策必经程序。</w:t>
      </w:r>
    </w:p>
    <w:p>
      <w:pPr>
        <w:ind w:left="0" w:right="0" w:firstLine="560"/>
        <w:spacing w:before="450" w:after="450" w:line="312" w:lineRule="auto"/>
      </w:pPr>
      <w:r>
        <w:rPr>
          <w:rFonts w:ascii="宋体" w:hAnsi="宋体" w:eastAsia="宋体" w:cs="宋体"/>
          <w:color w:val="000"/>
          <w:sz w:val="28"/>
          <w:szCs w:val="28"/>
        </w:rPr>
        <w:t xml:space="preserve">（二）加强行政决策合法性审查。建立了合法性审查队伍，规范送审、登记、审查、审签、意见反馈等流程，做到应审必审。</w:t>
      </w:r>
    </w:p>
    <w:p>
      <w:pPr>
        <w:ind w:left="0" w:right="0" w:firstLine="560"/>
        <w:spacing w:before="450" w:after="450" w:line="312" w:lineRule="auto"/>
      </w:pPr>
      <w:r>
        <w:rPr>
          <w:rFonts w:ascii="宋体" w:hAnsi="宋体" w:eastAsia="宋体" w:cs="宋体"/>
          <w:color w:val="000"/>
          <w:sz w:val="28"/>
          <w:szCs w:val="28"/>
        </w:rPr>
        <w:t xml:space="preserve">聘请智盛律师事务所主任陈世铭为我局法律顾问。在开展法治政府建设工作和作出重大行政决策中，对应当听取法律顾问意见的事项，均听取了法律顾问的意见或建议。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歙县法治建设工作总结17</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读书破万卷下笔如有神，以上就是一秘为大家带来的9篇《法治建设工作总结》，希望可以启发您的一些写作思路。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_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组织2期次执法人员集中学法和县公务员学法用法三年一轮训，完成年度县学法用法网上考核，提高全局干部依法行政能力。</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改革的要求，组织全局“不宜进驻行政服务中心办事”事项梳理和“证明”的梳理，根据要求，对44项实行“无差别受理”的事项向xx县行政服务中心进行书面委托；及时动态更新行_力清单，补正完善浙江政务服务网公布的“最多跑一次”事项和信息，确保“最多跑一次”事项与省厅指导目录和指南比对一致，做到“八统一”和“无证明局”，20xx年全局跑一次事项54项，比20xx年增加27项，网上办理率达100%，零跑率60%以上，完成县政府“最多跑一次”目标要求。</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_。</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歙县法治建设工作总结20</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歙县法治建设工作总结21</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歙县法治建设工作总结22</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（三）充分利用媒体宣传，及时在网站上更新人社新政策，工作新动态，，20xx年我局共报送各类稿件信息99余篇，充分展示了法制人社为人民服务的.形象。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_《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歙县法治建设工作总结23</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