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人力资源实习总结3000字范文</w:t>
      </w:r>
      <w:bookmarkEnd w:id="1"/>
    </w:p>
    <w:p>
      <w:pPr>
        <w:jc w:val="center"/>
        <w:spacing w:before="0" w:after="450"/>
      </w:pPr>
      <w:r>
        <w:rPr>
          <w:rFonts w:ascii="Arial" w:hAnsi="Arial" w:eastAsia="Arial" w:cs="Arial"/>
          <w:color w:val="999999"/>
          <w:sz w:val="20"/>
          <w:szCs w:val="20"/>
        </w:rPr>
        <w:t xml:space="preserve">来源：网络  作者：翠竹清韵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人力资源实习总结3000字范文》，感谢您的阅读！</w:t>
      </w:r>
    </w:p>
    <w:p>
      <w:pPr>
        <w:ind w:left="0" w:right="0" w:firstLine="560"/>
        <w:spacing w:before="450" w:after="450" w:line="312" w:lineRule="auto"/>
      </w:pPr>
      <w:r>
        <w:rPr>
          <w:rFonts w:ascii="宋体" w:hAnsi="宋体" w:eastAsia="宋体" w:cs="宋体"/>
          <w:color w:val="000"/>
          <w:sz w:val="28"/>
          <w:szCs w:val="28"/>
        </w:rPr>
        <w:t xml:space="preserve">　　经过两年多的学习积累，终于在09年，开始了人生的一个新的历程——实习。作为文秘专业的学生，我选择了与专业较为接近的的酒店前台接待作为我的实习岗位。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　　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　　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　　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　　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　　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　　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　　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　　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　　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　　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　　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　　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　　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　　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　　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　　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　　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　　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　　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　　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　　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　　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　　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　　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　　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　　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　　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　　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　　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　　具备公正、忠信、坚定勇敢的意志力。对于人力资源主任来说，只有公正才可以做到无私，才能够客观地对人力进行评估、确定，在选拔、推荐、使用人才时坚持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　　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　　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　　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岗级122级，最低岗级为32级;管理及专业技术岗位以电业局局长为岗级192级，最低岗级为32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　　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　　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2025-06-21T08:04:29+08:00</dcterms:created>
  <dcterms:modified xsi:type="dcterms:W3CDTF">2025-06-21T08:04:29+08:00</dcterms:modified>
</cp:coreProperties>
</file>

<file path=docProps/custom.xml><?xml version="1.0" encoding="utf-8"?>
<Properties xmlns="http://schemas.openxmlformats.org/officeDocument/2006/custom-properties" xmlns:vt="http://schemas.openxmlformats.org/officeDocument/2006/docPropsVTypes"/>
</file>