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2023度机关意识形态工作总结优选合集</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工作总结，以年终总结、半年总结和季度总结最为常见和多用。今天为大家精心准备了2023度机关意识形态工作总结优选合集，希望对大家有所帮助!　　2023度机关意识形态工作总结优选合集　　根据中央《党委（党组意识形态工作职责制实施办法》、自治区党...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工作总结，以年终总结、半年总结和季度总结最为常见和多用。今天为大家精心准备了2023度机关意识形态工作总结优选合集，希望对大家有所帮助![_TAG_h2]　　2023度机关意识形态工作总结优选合集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2000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2023度机关意识形态工作总结优选合集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2023度机关意识形态工作总结优选合集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　　(三)紧抓舆论引导，进取传播正能量。一是完善宣传制度，规范舆论引导。接待部门是来宾对XXXX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XXXX、推介XXXX，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