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2023年民族团结工作总结(通用4篇)</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以下是为大家整理的关于2023年民族团结工作总结的文章4篇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__届二中、三中全会和“12〃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【篇二】2023年民族团结工作总结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【篇三】2023年民族团结工作总结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月23日，__镇召开2023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【篇四】2023年民族团结工作总结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