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军品保密项目工作总结(实用5篇)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军品保密项目工作总结1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军品保密项目工作总结4</w:t>
      </w:r>
    </w:p>
    <w:p>
      <w:pPr>
        <w:ind w:left="0" w:right="0" w:firstLine="560"/>
        <w:spacing w:before="450" w:after="450" w:line="312" w:lineRule="auto"/>
      </w:pPr>
      <w:r>
        <w:rPr>
          <w:rFonts w:ascii="宋体" w:hAnsi="宋体" w:eastAsia="宋体" w:cs="宋体"/>
          <w:color w:val="000"/>
          <w:sz w:val="28"/>
          <w:szCs w:val="28"/>
        </w:rPr>
        <w:t xml:space="preserve">按照...x保密委员会关于印发《...x保密检查实施方案》的通知(...[20XX]15号)文件精神，我局领导高度重视，迅速组织人员开展党政机关保密检查工作，现将有关情景报告如下：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保密检查实施方案》文件要求，传达和学习了各级领导关于保密工作的重要批示和讲话，认清了安全工作的形势，增强职责感和使命感;及时调整了保密领导小组成员，由局长...为组长、副局长...、...、...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