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来源：网络  作者：花开彼岸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