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2024年名著读后感300字(十二篇)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名著读后感300字一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名著读后感300字一</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名著读后感300字三</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名著读后感300字五</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名著读后感300字八</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名著读后感300字九</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名著读后感300字篇十一</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腐败的政治。在这一时，那些梁山的英雄们也像他们所说的那样：大块吃肉，大碗喝酒，杀得贪官污吏心惊胆战，令人大呼痛快。而作者也有意借此发泄他对当时社会腐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腐败、混乱。因此在书中我们经常可以看见官员行贿和压迫百姓的事实，表现出了当时百姓的有苦无处伸张的现象。而宋江等人和当朝政府官员对抗，替百姓出怨气，就又表现出了此书的又一个中心思想：官逼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黑体" w:hAnsi="黑体" w:eastAsia="黑体" w:cs="黑体"/>
          <w:color w:val="000000"/>
          <w:sz w:val="36"/>
          <w:szCs w:val="36"/>
          <w:b w:val="1"/>
          <w:bCs w:val="1"/>
        </w:rPr>
        <w:t xml:space="preserve">名著读后感300字篇十二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2025-06-21T04:23:26+08:00</dcterms:created>
  <dcterms:modified xsi:type="dcterms:W3CDTF">2025-06-21T04:23:26+08:00</dcterms:modified>
</cp:coreProperties>
</file>

<file path=docProps/custom.xml><?xml version="1.0" encoding="utf-8"?>
<Properties xmlns="http://schemas.openxmlformats.org/officeDocument/2006/custom-properties" xmlns:vt="http://schemas.openxmlformats.org/officeDocument/2006/docPropsVTypes"/>
</file>