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2025年高科技产品专利申请权转让合同 科技专利技术转让(24篇)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高科技产品专利申请权转让合同 科技专利技术转让一技术受让人：(公章)(甲方)技术让与人：(公章)(乙方)中介人：(公章)合同登记机关：签订日期： 年 月 日合同履行期限： 年 月 日至 年 月 日研制单位(个人)研制完成时间 年 月 日主要...</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高科技产品专利申请权转让合同 科技专利技术转让篇十一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