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工程装修合同完整(五篇)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工程装修合同完整一甲方(发包人)：_________法人执照号码：_________法定代表人：_________地址：_________委托代理人：_________身份证号：_________联系电话：________...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社团登记证号码：_________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1.本工程质量执行国家标准gb50096-1999《住宅设计规范》、gb50327-20_《住宅装饰装修工程施工规范》、gb50210-20_《建筑装饰装修工程质量验收规范》等相关国家和行业标准。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（一）《中华人民共和国合同法》。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签定时间：____________签定时间：____________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