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工程物流管理实习报告</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物流管理实习报告3篇通过物流实习，大家学到了宝贵的实践经验，强化了自身的操作技能，在反思中不断成长。现在，就动笔写一下物流的实习报告吧。你是否在找正准备撰写“工程物流管理实习报告”，下面小编收集了相关的素材，供大家写文参考！&gt;工程物流管...</w:t>
      </w:r>
    </w:p>
    <w:p>
      <w:pPr>
        <w:ind w:left="0" w:right="0" w:firstLine="560"/>
        <w:spacing w:before="450" w:after="450" w:line="312" w:lineRule="auto"/>
      </w:pPr>
      <w:r>
        <w:rPr>
          <w:rFonts w:ascii="宋体" w:hAnsi="宋体" w:eastAsia="宋体" w:cs="宋体"/>
          <w:color w:val="000"/>
          <w:sz w:val="28"/>
          <w:szCs w:val="28"/>
        </w:rPr>
        <w:t xml:space="preserve">工程物流管理实习报告3篇</w:t>
      </w:r>
    </w:p>
    <w:p>
      <w:pPr>
        <w:ind w:left="0" w:right="0" w:firstLine="560"/>
        <w:spacing w:before="450" w:after="450" w:line="312" w:lineRule="auto"/>
      </w:pPr>
      <w:r>
        <w:rPr>
          <w:rFonts w:ascii="宋体" w:hAnsi="宋体" w:eastAsia="宋体" w:cs="宋体"/>
          <w:color w:val="000"/>
          <w:sz w:val="28"/>
          <w:szCs w:val="28"/>
        </w:rPr>
        <w:t xml:space="preserve">通过物流实习，大家学到了宝贵的实践经验，强化了自身的操作技能，在反思中不断成长。现在，就动笔写一下物流的实习报告吧。你是否在找正准备撰写“工程物流管理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&gt;工程物流管理实习报告篇1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&gt;工程物流管理实习报告篇2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宋体" w:hAnsi="宋体" w:eastAsia="宋体" w:cs="宋体"/>
          <w:color w:val="000"/>
          <w:sz w:val="28"/>
          <w:szCs w:val="28"/>
        </w:rPr>
        <w:t xml:space="preserve">&gt;工程物流管理实习报告篇3</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4.wms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2025-06-19T06:58:19+08:00</dcterms:created>
  <dcterms:modified xsi:type="dcterms:W3CDTF">2025-06-19T06:58:19+08:00</dcterms:modified>
</cp:coreProperties>
</file>

<file path=docProps/custom.xml><?xml version="1.0" encoding="utf-8"?>
<Properties xmlns="http://schemas.openxmlformats.org/officeDocument/2006/custom-properties" xmlns:vt="http://schemas.openxmlformats.org/officeDocument/2006/docPropsVTypes"/>
</file>