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清廉金融文化建设活动心得体会</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本月反腐倡廉教育月活动开展以来，本人认真根据省市公司要求，扎实加强自身学习。现就学习心得简要汇报如下：一、要勤学善思学风问题是一个永恒话题，抵制腐败也必须端正学风。首先是勤学。通过对腐败案件的学习，我们不难发现违纪违法者都是从学习上缺乏自...</w:t>
      </w:r>
    </w:p>
    <w:p>
      <w:pPr>
        <w:ind w:left="0" w:right="0" w:firstLine="560"/>
        <w:spacing w:before="450" w:after="450" w:line="312" w:lineRule="auto"/>
      </w:pPr>
      <w:r>
        <w:rPr>
          <w:rFonts w:ascii="宋体" w:hAnsi="宋体" w:eastAsia="宋体" w:cs="宋体"/>
          <w:color w:val="000"/>
          <w:sz w:val="28"/>
          <w:szCs w:val="28"/>
        </w:rPr>
        <w:t xml:space="preserve">自本月反腐倡廉教育月活动开展以来，本人认真根据省市公司要求，扎实加强自身学习。现就学习心得简要汇报如下：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以上就是本人学习的简要心得，恳请各位领导批评指正，谢谢。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