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集约税收管理资源提高风险防控水平</w:t>
      </w:r>
      <w:bookmarkEnd w:id="1"/>
    </w:p>
    <w:p>
      <w:pPr>
        <w:jc w:val="center"/>
        <w:spacing w:before="0" w:after="450"/>
      </w:pPr>
      <w:r>
        <w:rPr>
          <w:rFonts w:ascii="Arial" w:hAnsi="Arial" w:eastAsia="Arial" w:cs="Arial"/>
          <w:color w:val="999999"/>
          <w:sz w:val="20"/>
          <w:szCs w:val="20"/>
        </w:rPr>
        <w:t xml:space="preserve">来源：网络  作者：独酌月影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集约税收管理资源提高风险防控水平 集约税收管理资源提高风险防控水平集约税收管理资源提高风险防控水平摘要:精益化税收管理是电网企业实施集约化、战略化现代企业管理的重要模式之一,税收风险防控机制的科学、高效运转,使企业能够实现更优的管理质量及更...</w:t>
      </w:r>
    </w:p>
    <w:p>
      <w:pPr>
        <w:ind w:left="0" w:right="0" w:firstLine="560"/>
        <w:spacing w:before="450" w:after="450" w:line="312" w:lineRule="auto"/>
      </w:pPr>
      <w:r>
        <w:rPr>
          <w:rFonts w:ascii="宋体" w:hAnsi="宋体" w:eastAsia="宋体" w:cs="宋体"/>
          <w:color w:val="000"/>
          <w:sz w:val="28"/>
          <w:szCs w:val="28"/>
        </w:rPr>
        <w:t xml:space="preserve">集约税收管理资源提高风险防控水平 集约税收管理资源提高风险防控水平集约税收管理资源提高风险防控水平</w:t>
      </w:r>
    </w:p>
    <w:p>
      <w:pPr>
        <w:ind w:left="0" w:right="0" w:firstLine="560"/>
        <w:spacing w:before="450" w:after="450" w:line="312" w:lineRule="auto"/>
      </w:pPr>
      <w:r>
        <w:rPr>
          <w:rFonts w:ascii="宋体" w:hAnsi="宋体" w:eastAsia="宋体" w:cs="宋体"/>
          <w:color w:val="000"/>
          <w:sz w:val="28"/>
          <w:szCs w:val="28"/>
        </w:rPr>
        <w:t xml:space="preserve">摘要:精益化税收管理是电网企业实施集约化、战略化现代企业管理的重要模式之一,税收风险防控机制的科学、高效运转,使企业能够实现更优的管理质量及更高的管理效益,促进企业发展。</w:t>
      </w:r>
    </w:p>
    <w:p>
      <w:pPr>
        <w:ind w:left="0" w:right="0" w:firstLine="560"/>
        <w:spacing w:before="450" w:after="450" w:line="312" w:lineRule="auto"/>
      </w:pPr>
      <w:r>
        <w:rPr>
          <w:rFonts w:ascii="宋体" w:hAnsi="宋体" w:eastAsia="宋体" w:cs="宋体"/>
          <w:color w:val="000"/>
          <w:sz w:val="28"/>
          <w:szCs w:val="28"/>
        </w:rPr>
        <w:t xml:space="preserve">关键词:集约;资源;风险;防控</w:t>
      </w:r>
    </w:p>
    <w:p>
      <w:pPr>
        <w:ind w:left="0" w:right="0" w:firstLine="560"/>
        <w:spacing w:before="450" w:after="450" w:line="312" w:lineRule="auto"/>
      </w:pPr>
      <w:r>
        <w:rPr>
          <w:rFonts w:ascii="宋体" w:hAnsi="宋体" w:eastAsia="宋体" w:cs="宋体"/>
          <w:color w:val="000"/>
          <w:sz w:val="28"/>
          <w:szCs w:val="28"/>
        </w:rPr>
        <w:t xml:space="preserve">随着经济全球化发展,日益激烈的市场竞争促使成本控制成为电网企业提升竞争实力、实现可持续发展的重要途径之一。税收管理作为成本控制的重要内容,在经济危机的影响、企业内部控制规范的实施、税制改革以及国家对税收监管不断精细的背景下,也面临压力和挑战。如何健全企业税收内控体制,科学合理制定税收管理策略,防范经营风险,实现企业经济效益的整体提升,就成了电网企业的一项重要课题。</w:t>
      </w:r>
    </w:p>
    <w:p>
      <w:pPr>
        <w:ind w:left="0" w:right="0" w:firstLine="560"/>
        <w:spacing w:before="450" w:after="450" w:line="312" w:lineRule="auto"/>
      </w:pPr>
      <w:r>
        <w:rPr>
          <w:rFonts w:ascii="宋体" w:hAnsi="宋体" w:eastAsia="宋体" w:cs="宋体"/>
          <w:color w:val="000"/>
          <w:sz w:val="28"/>
          <w:szCs w:val="28"/>
        </w:rPr>
        <w:t xml:space="preserve">一、税收风险防控体系建立背景</w:t>
      </w:r>
    </w:p>
    <w:p>
      <w:pPr>
        <w:ind w:left="0" w:right="0" w:firstLine="560"/>
        <w:spacing w:before="450" w:after="450" w:line="312" w:lineRule="auto"/>
      </w:pPr>
      <w:r>
        <w:rPr>
          <w:rFonts w:ascii="宋体" w:hAnsi="宋体" w:eastAsia="宋体" w:cs="宋体"/>
          <w:color w:val="000"/>
          <w:sz w:val="28"/>
          <w:szCs w:val="28"/>
        </w:rPr>
        <w:t xml:space="preserve">精益化税收风险防控体系是地市级供电企业紧紧围绕国家电网公司“集团化运作、集约化发展、精益化管理、标准化建设”的发展方式要求,以全面深入推进财务集约化管理为主线,以依法经营为理念,通过精细税收过程管理,进一步整合税企文化,有效控制税收风险,合理筹划税收成本,提升企业竞争力,促进企业实现可持续发展而建立的一整套税收风险防控机制。</w:t>
      </w:r>
    </w:p>
    <w:p>
      <w:pPr>
        <w:ind w:left="0" w:right="0" w:firstLine="560"/>
        <w:spacing w:before="450" w:after="450" w:line="312" w:lineRule="auto"/>
      </w:pPr>
      <w:r>
        <w:rPr>
          <w:rFonts w:ascii="宋体" w:hAnsi="宋体" w:eastAsia="宋体" w:cs="宋体"/>
          <w:color w:val="000"/>
          <w:sz w:val="28"/>
          <w:szCs w:val="28"/>
        </w:rPr>
        <w:t xml:space="preserve">二、税收风险防控体系的内涵和目的</w:t>
      </w:r>
    </w:p>
    <w:p>
      <w:pPr>
        <w:ind w:left="0" w:right="0" w:firstLine="560"/>
        <w:spacing w:before="450" w:after="450" w:line="312" w:lineRule="auto"/>
      </w:pPr>
      <w:r>
        <w:rPr>
          <w:rFonts w:ascii="宋体" w:hAnsi="宋体" w:eastAsia="宋体" w:cs="宋体"/>
          <w:color w:val="000"/>
          <w:sz w:val="28"/>
          <w:szCs w:val="28"/>
        </w:rPr>
        <w:t xml:space="preserve">1.税收风险防控体系的内涵。近年来,电网企业税收管理的精益化程度愈来愈高,税收筹划的重点不断细化,税收筹划的范围已实现从大税种向小税种、从主营业务向农维费的覆盖,逐步实现了从基本税收政策的单一层次筹划到税收优惠政策等多层次筹划的拓展,涉及的税种包括企业所得税、增值税、营业税、房产税、土地使用税、印花税及个人所得税等。同时,企业注重加强企业税收风险文化建设,逐步建立了企业依法纳税、合理筹划、合法节税的意识。在税收管理活动过程中,建立了畅通的税企交流机制,达到了促进电网企业政策运用与税务机关执法趋同的目的,进一步优化具有电力企业特色的、集约化的税收风险防控体系。</w:t>
      </w:r>
    </w:p>
    <w:p>
      <w:pPr>
        <w:ind w:left="0" w:right="0" w:firstLine="560"/>
        <w:spacing w:before="450" w:after="450" w:line="312" w:lineRule="auto"/>
      </w:pPr>
      <w:r>
        <w:rPr>
          <w:rFonts w:ascii="宋体" w:hAnsi="宋体" w:eastAsia="宋体" w:cs="宋体"/>
          <w:color w:val="000"/>
          <w:sz w:val="28"/>
          <w:szCs w:val="28"/>
        </w:rPr>
        <w:t xml:space="preserve">三、税收风险防控体系的具体运作 3.开展税收风险分析,提高风险甄别能力。税收政策面多量广、更新快,要全面掌握、合理运用存在较大困难,而税法与企业会计准则在计量、确认等方面虽然逐步趋同,但仍存在较大差异。例如,企业会计核算遵循的是权责发生制,而税法上是权责发生制与收付实现制并存,同时企业由于缺乏定期全面检查机制,因自身计算差错或对税收政策误解导致差错也难以及时发现出来,因此企业的税收管理工作中的风险点无处不在。电网企业税收风险类型复杂多样,具体分类(见表</w:t>
      </w:r>
    </w:p>
    <w:p>
      <w:pPr>
        <w:ind w:left="0" w:right="0" w:firstLine="560"/>
        <w:spacing w:before="450" w:after="450" w:line="312" w:lineRule="auto"/>
      </w:pPr>
      <w:r>
        <w:rPr>
          <w:rFonts w:ascii="宋体" w:hAnsi="宋体" w:eastAsia="宋体" w:cs="宋体"/>
          <w:color w:val="000"/>
          <w:sz w:val="28"/>
          <w:szCs w:val="28"/>
        </w:rPr>
        <w:t xml:space="preserve">1)。正确分析税收风险的类别和级次是税收风险防控体系有效运作的关键环节。</w:t>
      </w:r>
    </w:p>
    <w:p>
      <w:pPr>
        <w:ind w:left="0" w:right="0" w:firstLine="560"/>
        <w:spacing w:before="450" w:after="450" w:line="312" w:lineRule="auto"/>
      </w:pPr>
      <w:r>
        <w:rPr>
          <w:rFonts w:ascii="宋体" w:hAnsi="宋体" w:eastAsia="宋体" w:cs="宋体"/>
          <w:color w:val="000"/>
          <w:sz w:val="28"/>
          <w:szCs w:val="28"/>
        </w:rPr>
        <w:t xml:space="preserve">4.精细税收管理,着力控制税收风险。从外部环境来看,随着税制的改革和发展,税收监管手段趋于科学化、信息化及精细化,税收风险存在于企业税收管理的整个过程和各个环节,日益复杂多样的税收风险对企业税收管理提出更加精细的要求;从内部管理来看,税管人员的轮换使政策运用的延续性和衔接性方面存在风险,而税收筹划业务的不断拓展,进一步加大税收风险,企业必须做细做实税收管理工作,为高质量的税管工作提供有效支撑。</w:t>
      </w:r>
    </w:p>
    <w:p>
      <w:pPr>
        <w:ind w:left="0" w:right="0" w:firstLine="560"/>
        <w:spacing w:before="450" w:after="450" w:line="312" w:lineRule="auto"/>
      </w:pPr>
      <w:r>
        <w:rPr>
          <w:rFonts w:ascii="宋体" w:hAnsi="宋体" w:eastAsia="宋体" w:cs="宋体"/>
          <w:color w:val="000"/>
          <w:sz w:val="28"/>
          <w:szCs w:val="28"/>
        </w:rPr>
        <w:t xml:space="preserve">电网企业通过细化税收日常工作,有效落实各业务环节管理责任,将税收风险管理与经济业务核算管理相融合;按期梳理企业各项税收政策变动状况,定期组织各岗位人员学习和交流,确保税收政策落实到位,有效提高日常税收核算过程中的政策运用水平,从源头上控制风险;注重企业风险防范体系的建设,强化风险的前瞻性管理,要求各岗位针对政策变化主动查找风险环节及风险关键点,科学、细致的开展风险分析和评估,制定多层次的风险预控措施,不断提高企业风险防范水平,努力构筑企业税收风险防线,为企业依法经营保驾护航。</w:t>
      </w:r>
    </w:p>
    <w:p>
      <w:pPr>
        <w:ind w:left="0" w:right="0" w:firstLine="560"/>
        <w:spacing w:before="450" w:after="450" w:line="312" w:lineRule="auto"/>
      </w:pPr>
      <w:r>
        <w:rPr>
          <w:rFonts w:ascii="宋体" w:hAnsi="宋体" w:eastAsia="宋体" w:cs="宋体"/>
          <w:color w:val="000"/>
          <w:sz w:val="28"/>
          <w:szCs w:val="28"/>
        </w:rPr>
        <w:t xml:space="preserve">5.建立一盘棋的税收风险防控机制,实现集团运作效益。企业税收管理工作与企业经济安全紧密相连,企业涉税事项可能触及经济违规,上级单位严格的考核机制也给企业带来压力。因此,涉税事项出现时,各单位呈现出各自为阵、逐级协调的局面。涉税事项可能只是暂时在局部范围内得到协调,并不能彻底改善,不利于地市级电网企业及上级单位今后相关管理工作的改进和提高;同时,由于各自为阵,大大增加了税收协调成本,加大企业经营风险,影响企业经济效益及稳定发展。</w:t>
      </w:r>
    </w:p>
    <w:p>
      <w:pPr>
        <w:ind w:left="0" w:right="0" w:firstLine="560"/>
        <w:spacing w:before="450" w:after="450" w:line="312" w:lineRule="auto"/>
      </w:pPr>
      <w:r>
        <w:rPr>
          <w:rFonts w:ascii="宋体" w:hAnsi="宋体" w:eastAsia="宋体" w:cs="宋体"/>
          <w:color w:val="000"/>
          <w:sz w:val="28"/>
          <w:szCs w:val="28"/>
        </w:rPr>
        <w:t xml:space="preserve">为改变企业税收协调各自为阵、税收风险零散管理的状况,地市级供电企业需要坚持“集约出效益”的理念,紧紧围绕用足用好财税政策的管理思路,努力构建全区一盘棋的税收风险管理机制。通过优化管理体系,细化税收管理职责,实施分专业垂直管理,对全区税收环境进行全面调研,对涉税共性业务,实行统一协调管理,从地区层面协调至县域层面,确保共性税收事项的集约管理并实现管理效益;对非共性涉税业务,集全区财务人员之力,组织专业讨论,制定解决方案,主动与业务属地税务部门沟通,务求达成一致意见,解决方案经验证可行后,在全地区供电系统推广运用。6.开辟顺畅税企沟通交流渠道,营造良好纳税环境。中国税制改革举措频出,但税收政策无法兼顾各行业差异,企业对税收政策的解读和研究面临巨大挑战,如果企业不注重与税务部门在政策解读方面进行沟通、交流,有可能加大政策运用风险,甚至可能造成企业税收管理工作与税务执法相对立的局面。</w:t>
      </w:r>
    </w:p>
    <w:p>
      <w:pPr>
        <w:ind w:left="0" w:right="0" w:firstLine="560"/>
        <w:spacing w:before="450" w:after="450" w:line="312" w:lineRule="auto"/>
      </w:pPr>
      <w:r>
        <w:rPr>
          <w:rFonts w:ascii="宋体" w:hAnsi="宋体" w:eastAsia="宋体" w:cs="宋体"/>
          <w:color w:val="000"/>
          <w:sz w:val="28"/>
          <w:szCs w:val="28"/>
        </w:rPr>
        <w:t xml:space="preserve">电网企业应注重开展税企之间交流互动活动,“走出去”与“请进来”并举,一方面组织电网企业财务人员走进税务,积极参加税务部门举办的业务培训,参与税务部门工作效能监督;另一方面积极创造条件邀请税务部门走进企业,请税务部门到企业来授课、指导,探讨税收政策风险点及运用思路,让税务部门适时了解电力企业坚持依法经营、依法纳税的管理理念、行业状况以及在税收管理方面的专业特色,促进税企在税收政策的执行、运用上形成共识,实现双方共赢局面。</w:t>
      </w:r>
    </w:p>
    <w:p>
      <w:pPr>
        <w:ind w:left="0" w:right="0" w:firstLine="560"/>
        <w:spacing w:before="450" w:after="450" w:line="312" w:lineRule="auto"/>
      </w:pPr>
      <w:r>
        <w:rPr>
          <w:rFonts w:ascii="宋体" w:hAnsi="宋体" w:eastAsia="宋体" w:cs="宋体"/>
          <w:color w:val="000"/>
          <w:sz w:val="28"/>
          <w:szCs w:val="28"/>
        </w:rPr>
        <w:t xml:space="preserve">7.建立健全税收风险信息档案。将税收风险档案纳入企业经营管理档案系统。要求电网企业定期对税收管理新政及文件制度收集整理,并将近年来历次税收检查中存在问题及解决方案、发现的税收风险点及风险预控措施、税收筹划风险管理等信息资料汇总上报至上级单位,上级单位集约汇编形成信息档案。税收风险信息档案的建立,为指导各单位深层次防范税收风险提供了有力的政策支撑和工作经验参考。</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1.深入税收政策研究,实现节税增效。准确把握政策导向,做好税收政策研究,调整税收管理策略,通过加强所得税优惠政策、增值税转型、节能设备抵税等各项政策筹划,带来明显成效。电网企业通过应用“企业购置并使用符合《优惠目录》的环保产业设备抵免所得税优惠政策、均衡工资发放和利用一次性奖金纳税特殊优惠政策的筹划、技改利用国产设备投资抵免所得税优惠”等政策,可实现节税增效。</w:t>
      </w:r>
    </w:p>
    <w:p>
      <w:pPr>
        <w:ind w:left="0" w:right="0" w:firstLine="560"/>
        <w:spacing w:before="450" w:after="450" w:line="312" w:lineRule="auto"/>
      </w:pPr>
      <w:r>
        <w:rPr>
          <w:rFonts w:ascii="宋体" w:hAnsi="宋体" w:eastAsia="宋体" w:cs="宋体"/>
          <w:color w:val="000"/>
          <w:sz w:val="28"/>
          <w:szCs w:val="28"/>
        </w:rPr>
        <w:t xml:space="preserve">2.建立风险管理的预控机制,提高基层企业抗风险能力。结合当地税收管理环境,针对税收管理的重点环节,制定风险管理的预控措施,促进税收管理体制有效运转,提高抗风险能力,使电网企业在变化莫测的市场环境中有效的化解税收风险,促进企业实现可持续发展目标。</w:t>
      </w:r>
    </w:p>
    <w:p>
      <w:pPr>
        <w:ind w:left="0" w:right="0" w:firstLine="560"/>
        <w:spacing w:before="450" w:after="450" w:line="312" w:lineRule="auto"/>
      </w:pPr>
      <w:r>
        <w:rPr>
          <w:rFonts w:ascii="宋体" w:hAnsi="宋体" w:eastAsia="宋体" w:cs="宋体"/>
          <w:color w:val="000"/>
          <w:sz w:val="28"/>
          <w:szCs w:val="28"/>
        </w:rPr>
        <w:t xml:space="preserve">3.纳税环境日趋优化。以税企沟通平台为纽带,电网企业在日常工作中与税务部门通过开展互动交流,让税务部门适时了解电网企业坚持依法经营,依法纳税的管理理念,及在税收管理上的特色,促进对方在执法时能结合企业管理特点作出决策。同时通过邀请税务专家来企业授课以及受邀担任税务机关的廉政监督员等多种互动形式,多渠道整合税企文化,企业纳税环境日趋优化。</w:t>
      </w:r>
    </w:p>
    <w:p>
      <w:pPr>
        <w:ind w:left="0" w:right="0" w:firstLine="560"/>
        <w:spacing w:before="450" w:after="450" w:line="312" w:lineRule="auto"/>
      </w:pPr>
      <w:r>
        <w:rPr>
          <w:rFonts w:ascii="宋体" w:hAnsi="宋体" w:eastAsia="宋体" w:cs="宋体"/>
          <w:color w:val="000"/>
          <w:sz w:val="28"/>
          <w:szCs w:val="28"/>
        </w:rPr>
        <w:t xml:space="preserve">参考文献: [2]阴锦春.中国企业税收风险管理机制分析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2025-06-18T16:33:07+08:00</dcterms:created>
  <dcterms:modified xsi:type="dcterms:W3CDTF">2025-06-18T16:33:07+08:00</dcterms:modified>
</cp:coreProperties>
</file>

<file path=docProps/custom.xml><?xml version="1.0" encoding="utf-8"?>
<Properties xmlns="http://schemas.openxmlformats.org/officeDocument/2006/custom-properties" xmlns:vt="http://schemas.openxmlformats.org/officeDocument/2006/docPropsVTypes"/>
</file>