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试论中国与欧盟经济贸易关系论文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 一、中国与欧盟之间的贸易发展问题 1.技术性贸易壁垒.欧...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一、中国与欧盟之间的贸易发展问题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1.技术性贸易壁垒.欧盟各国经济、技术实力普遍较强，因而欧盟国家是最先意识并研究国际贸易中技术性贸易(Technical Barriers to Trade，以下简称TBT)的国家，同时也是设置TBT最严重的国家。调查表明TBT已成为阻碍我国出口产品进入欧盟市场的首要的非关税壁垒。 歧视性的反倾销政策。欧盟是最早发起对华反倾销的地区，也是外国对我国实施反倾销案诉讼最多的国家。截止2025年底，欧盟已发动98起针对中国产品的反倾销申诉。进入2025年，这一势头有增无减，年度立案数量大幅度增加到9起，涉及产品包括手动叉车、铸铁井盖、碳酸钡、聚酯长纤维面料、三氯异氰尿酸、镁砖、不锈钢紧固件、颗粒状聚四氟乙烯树脂、酒石酸等，这些产品均属中国出口欧盟的重要产品。 取消普惠制待遇。从1995年开始，欧盟分两阶段(19951998年和19982004年)逐渐了削减对中国产品的普惠制待遇。一些产品从2025年11月1日起，在原优惠安排的基础上，削减50%的优惠幅度，并从2025年5月1日起，取消了全部优惠安排。这意味着大量的中国产品进入欧盟市场的关税的大幅度提高，必将影响中国产品在欧盟市场上的竞争力，从而影响中国多欧盟出口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美国、欧洲和日本经济的衰退已成定局，依赖国外经济的出口和投资则会出现滑落，那么扩大内需成为拉动经济增长的首选。首先国家应该进一步完善社会保障网络，让城乡居民拥有同等的养老保障，这样可以将城乡居民的储蓄转化为消费;其次，开拓农村市场，进而带动整个产业的发展，当然这是一个长期收效的过程;最后，加大农村、城镇、小城市等的基础设施建设，加大开发西部的力度，振兴东北老工业基地，平衡中国地域的经济发展。 提供政府信用担保，协助出口企业融资。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商务部联手外汇管理局，正在酝酿放松企业预收货款融资。这次调整，将有望取消10万美元以下每单的预收货款管制，届时，企业将可以对预收货款采用即时结汇，以增加企业资金流动性 加强品牌、质量建设，增强核心竞争力。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从国内经济形势来看，我国经济持续高速增长，固定资产投资加快增长，外商投资规模不断扩大，经济结构的升级不断加快，我国的综合经济实力不断上升。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