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资产证券化中的税收问题</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资产证券化中的税收问题 资产证券化中的税收问题资产证券化中的税收问题 精品源自历史科摘要:资产证券化是资本市场上创新性的投融资工具,作为投融资成本的税收直接影响着其效率的发挥。我国资产证券化实践只有零星个例,这与包括税收在内的法律制度不健全...</w:t>
      </w:r>
    </w:p>
    <w:p>
      <w:pPr>
        <w:ind w:left="0" w:right="0" w:firstLine="560"/>
        <w:spacing w:before="450" w:after="450" w:line="312" w:lineRule="auto"/>
      </w:pPr>
      <w:r>
        <w:rPr>
          <w:rFonts w:ascii="宋体" w:hAnsi="宋体" w:eastAsia="宋体" w:cs="宋体"/>
          <w:color w:val="000"/>
          <w:sz w:val="28"/>
          <w:szCs w:val="28"/>
        </w:rPr>
        <w:t xml:space="preserve">资产证券化中的税收问题 资产证券化中的税收问题资产证券化中的税收问题 精品源自历史科</w:t>
      </w:r>
    </w:p>
    <w:p>
      <w:pPr>
        <w:ind w:left="0" w:right="0" w:firstLine="560"/>
        <w:spacing w:before="450" w:after="450" w:line="312" w:lineRule="auto"/>
      </w:pPr>
      <w:r>
        <w:rPr>
          <w:rFonts w:ascii="宋体" w:hAnsi="宋体" w:eastAsia="宋体" w:cs="宋体"/>
          <w:color w:val="000"/>
          <w:sz w:val="28"/>
          <w:szCs w:val="28"/>
        </w:rPr>
        <w:t xml:space="preserve">摘要:资产证券化是资本市场上创新性的投融资工具,作为投融资成本的税收直接影响着其效率的发挥。我国资产证券化实践只有零星个例,这与包括税收在内的法律制度不健全有紧密关系。本文主要从资产证券化各交易主体出发,并结合我国目前的法律规定来探讨其存在的税收问题。</w:t>
      </w:r>
    </w:p>
    <w:p>
      <w:pPr>
        <w:ind w:left="0" w:right="0" w:firstLine="560"/>
        <w:spacing w:before="450" w:after="450" w:line="312" w:lineRule="auto"/>
      </w:pPr>
      <w:r>
        <w:rPr>
          <w:rFonts w:ascii="宋体" w:hAnsi="宋体" w:eastAsia="宋体" w:cs="宋体"/>
          <w:color w:val="000"/>
          <w:sz w:val="28"/>
          <w:szCs w:val="28"/>
        </w:rPr>
        <w:t xml:space="preserve">关键词:税收;资产证券化;SPV</w:t>
      </w:r>
    </w:p>
    <w:p>
      <w:pPr>
        <w:ind w:left="0" w:right="0" w:firstLine="560"/>
        <w:spacing w:before="450" w:after="450" w:line="312" w:lineRule="auto"/>
      </w:pPr>
      <w:r>
        <w:rPr>
          <w:rFonts w:ascii="宋体" w:hAnsi="宋体" w:eastAsia="宋体" w:cs="宋体"/>
          <w:color w:val="000"/>
          <w:sz w:val="28"/>
          <w:szCs w:val="28"/>
        </w:rPr>
        <w:t xml:space="preserve">资产证券化是指将缺乏流动性、但能够产生可预见的稳定现金流的资产,通过一定的结构安排,对资产中风险与收益要素进行分离与重组,进而转换成在金融市场上可以出售和流通的证券的行为。它起源于20世纪70年代,当时主要用于住房抵押。目前,资产证券化已在全球资本市场上广泛运用于其他收益性资产,如应收账款、房地产抵押贷款、汽车贷款、公用设施收入等方面,甚至还出现了将音乐作品的版权收入及特定的国家能源储备收入证券化的情况。由于资产证券化具有创新的融资结构和高效的载体,满足了不断变化的投融资需求,故而成为资本市场上最为有效的投融资工具之一。</w:t>
      </w:r>
    </w:p>
    <w:p>
      <w:pPr>
        <w:ind w:left="0" w:right="0" w:firstLine="560"/>
        <w:spacing w:before="450" w:after="450" w:line="312" w:lineRule="auto"/>
      </w:pPr>
      <w:r>
        <w:rPr>
          <w:rFonts w:ascii="宋体" w:hAnsi="宋体" w:eastAsia="宋体" w:cs="宋体"/>
          <w:color w:val="000"/>
          <w:sz w:val="28"/>
          <w:szCs w:val="28"/>
        </w:rPr>
        <w:t xml:space="preserve">我国的证券化实践尚只有零星个案,这与包括税收在内的法律制度不健全有紧密关系。税收在资产证券化的交易链条中,直接决定了各参与主体的投融资成本,因此成为影响证券化效率的一个关键因素。本文着重从交易主体出发,来探讨资产证券化的有关税收问题。</w:t>
      </w:r>
    </w:p>
    <w:p>
      <w:pPr>
        <w:ind w:left="0" w:right="0" w:firstLine="560"/>
        <w:spacing w:before="450" w:after="450" w:line="312" w:lineRule="auto"/>
      </w:pPr>
      <w:r>
        <w:rPr>
          <w:rFonts w:ascii="宋体" w:hAnsi="宋体" w:eastAsia="宋体" w:cs="宋体"/>
          <w:color w:val="000"/>
          <w:sz w:val="28"/>
          <w:szCs w:val="28"/>
        </w:rPr>
        <w:t xml:space="preserve">资产证券化的基本框架 资产证券化的主要税收问题</w:t>
      </w:r>
    </w:p>
    <w:p>
      <w:pPr>
        <w:ind w:left="0" w:right="0" w:firstLine="560"/>
        <w:spacing w:before="450" w:after="450" w:line="312" w:lineRule="auto"/>
      </w:pPr>
      <w:r>
        <w:rPr>
          <w:rFonts w:ascii="宋体" w:hAnsi="宋体" w:eastAsia="宋体" w:cs="宋体"/>
          <w:color w:val="000"/>
          <w:sz w:val="28"/>
          <w:szCs w:val="28"/>
        </w:rPr>
        <w:t xml:space="preserve">一、发起人的税收问题</w:t>
      </w:r>
    </w:p>
    <w:p>
      <w:pPr>
        <w:ind w:left="0" w:right="0" w:firstLine="560"/>
        <w:spacing w:before="450" w:after="450" w:line="312" w:lineRule="auto"/>
      </w:pPr>
      <w:r>
        <w:rPr>
          <w:rFonts w:ascii="宋体" w:hAnsi="宋体" w:eastAsia="宋体" w:cs="宋体"/>
          <w:color w:val="000"/>
          <w:sz w:val="28"/>
          <w:szCs w:val="28"/>
        </w:rPr>
        <w:t xml:space="preserve">1.资产转移的方式决定纳税义务的发生。国际上常见的资产转移方式做法有真实销售、担保融资和信托。</w:t>
      </w:r>
    </w:p>
    <w:p>
      <w:pPr>
        <w:ind w:left="0" w:right="0" w:firstLine="560"/>
        <w:spacing w:before="450" w:after="450" w:line="312" w:lineRule="auto"/>
      </w:pPr>
      <w:r>
        <w:rPr>
          <w:rFonts w:ascii="宋体" w:hAnsi="宋体" w:eastAsia="宋体" w:cs="宋体"/>
          <w:color w:val="000"/>
          <w:sz w:val="28"/>
          <w:szCs w:val="28"/>
        </w:rPr>
        <w:t xml:space="preserve">如果采用担保方式进行融资,从法律的角度来说,这种权利担保一般要采用质押形式。我国《担保法》第75条对可以质押的权利作了列举式规定,虽然对其中第4项“依法可以质押的其他权利”的规定是为了概括可能的情形,但也容易引起争议。在实践中,倾向于扩大解释的“肯定说”认为,只要符合可出质权利的一般特性要求,所有的财产权均可以出质:“否定说”认为,应严格遵守法定质押原则,即如果没有法律上的明确规定,其他权利均不得出质;第三种观点认为,符合出质权利一般特性要求的权利原则上可以出质,但如果权利本身不具有商业上的稳定性、又不能控制的,则不宜作为质押的标的。因此,在没有明确规定的情况下,资产转移方式采取“担保融资”有可能面临是否合法的问题。这种潜在的“权利瑕疵”既决定了后来的一系列交易的合法性,也决定了相关的纳税义务。因为,税收的强制性原则体现在依法征税,从广义来理解,这种“依法”不应当只是针对税收相关法律法规,而应当及于其他法律,也就是说不合法的行为不征税。可见,采取“担保融资”虽可能带来税收上的好处,但这以可能无法受到法律上的保护为前提的。</w:t>
      </w:r>
    </w:p>
    <w:p>
      <w:pPr>
        <w:ind w:left="0" w:right="0" w:firstLine="560"/>
        <w:spacing w:before="450" w:after="450" w:line="312" w:lineRule="auto"/>
      </w:pPr>
      <w:r>
        <w:rPr>
          <w:rFonts w:ascii="宋体" w:hAnsi="宋体" w:eastAsia="宋体" w:cs="宋体"/>
          <w:color w:val="000"/>
          <w:sz w:val="28"/>
          <w:szCs w:val="28"/>
        </w:rPr>
        <w:t xml:space="preserve">如果采取信托方式转移资产,发起人将资产信托给SPV.该种方式将很可能使证券化的资产与原始所有人保持千丝万缕的联系,影响证券信誉等级。特别是按照大陆法系的“一元所有权论”,信托财产的所有权仍为发起人所有,一旦发起人破产,该资产理所当然应为破产财产。因此,发起人对证券发行的长远考虑应当优先于税收利益上的考虑。</w:t>
      </w:r>
    </w:p>
    <w:p>
      <w:pPr>
        <w:ind w:left="0" w:right="0" w:firstLine="560"/>
        <w:spacing w:before="450" w:after="450" w:line="312" w:lineRule="auto"/>
      </w:pPr>
      <w:r>
        <w:rPr>
          <w:rFonts w:ascii="宋体" w:hAnsi="宋体" w:eastAsia="宋体" w:cs="宋体"/>
          <w:color w:val="000"/>
          <w:sz w:val="28"/>
          <w:szCs w:val="28"/>
        </w:rPr>
        <w:t xml:space="preserve">为了真正地使SPV与发起人的破产风险隔离、有效实现信用增级以及保护投资者,真实销售的做法应当受到鼓励。至于相关的纳税问题,在所得税方面,《企业所得税暂行条例》及《实施细则》已做了一般性规定,即便发起人对转移的资产不具有私法上所说的所有权,无法适用“财产转让收入”这一税目,也有“其他收入”进行补充;营业税方面,则规定了一定的税收优惠:如果对信达、华融、长城和东方资产管理公司接受国有银行的不良债权,则免征银行销售转让不动产、无形资产以及利用不动产从事融资租赁应当缴纳的营业税。</w:t>
      </w:r>
    </w:p>
    <w:p>
      <w:pPr>
        <w:ind w:left="0" w:right="0" w:firstLine="560"/>
        <w:spacing w:before="450" w:after="450" w:line="312" w:lineRule="auto"/>
      </w:pPr>
      <w:r>
        <w:rPr>
          <w:rFonts w:ascii="宋体" w:hAnsi="宋体" w:eastAsia="宋体" w:cs="宋体"/>
          <w:color w:val="000"/>
          <w:sz w:val="28"/>
          <w:szCs w:val="28"/>
        </w:rPr>
        <w:t xml:space="preserve">除上述三种情形外,发起人能否采取对外投资或资产置换的做法呢?首先,从对外投资来说,发起人所拥有资产的权利决定了对外投资的限制,《公司法》明确规定股东可以用货币出资,也可以用实物、工业产权、非专利技术、土地使用权出资,这就排除了类似应收账款等的债权进行出资的情况;其次,发起人将控制SPV的部分或全部股权,这将无法实现真正的破产隔离。因此,对外投资的做法在资产证券化的过程中是不可行的。就资产置换来说,税法规定如果是整体资产置换交易,作为交易补价的货币性资产占换入总资产公允价值不高于25%的,经税务机关审核确认,双方均不确认资产的所得或损失。笔者认为,如果发起人通过资产重组,而非股权重组的方式转移资产,既可以避免发起人与SPV之间的控股关系,以做到真正的破产隔离,也存在双方都避免所得税纳税义务的可能性,但可能因此产生增值税、营业税等纳税义务。</w:t>
      </w:r>
    </w:p>
    <w:p>
      <w:pPr>
        <w:ind w:left="0" w:right="0" w:firstLine="560"/>
        <w:spacing w:before="450" w:after="450" w:line="312" w:lineRule="auto"/>
      </w:pPr>
      <w:r>
        <w:rPr>
          <w:rFonts w:ascii="宋体" w:hAnsi="宋体" w:eastAsia="宋体" w:cs="宋体"/>
          <w:color w:val="000"/>
          <w:sz w:val="28"/>
          <w:szCs w:val="28"/>
        </w:rPr>
        <w:t xml:space="preserve">因此,对各种资产转移方式做出详细规定很有必要,尤其是判定真实销售和担保融资的标准,才可能进一步细化纳税义务发生的有关规定。</w:t>
      </w:r>
    </w:p>
    <w:p>
      <w:pPr>
        <w:ind w:left="0" w:right="0" w:firstLine="560"/>
        <w:spacing w:before="450" w:after="450" w:line="312" w:lineRule="auto"/>
      </w:pPr>
      <w:r>
        <w:rPr>
          <w:rFonts w:ascii="宋体" w:hAnsi="宋体" w:eastAsia="宋体" w:cs="宋体"/>
          <w:color w:val="000"/>
          <w:sz w:val="28"/>
          <w:szCs w:val="28"/>
        </w:rPr>
        <w:t xml:space="preserve">2.资产转移所发生的费用、损失是否允许扣除。发起人要为其“真实销售”产生的财产收入或其他收入纳税时,相关的费用是否允许扣除就成为随之而来的关键问题。现行的税法并未对资产证券化作出具体的规定。实践中,一般是以财产转移收益扣除财产转移的成本、费用、税金、损失后的余额计算财产转让的应纳税所得额。从税收公平的角度来看,对于计提的坏账准备、资产减值准备等应当从取得成本中扣除,也就是不能再在税前重复扣除;而如果资产转移发生损失,也应允许在税前予以扣除。</w:t>
      </w:r>
    </w:p>
    <w:p>
      <w:pPr>
        <w:ind w:left="0" w:right="0" w:firstLine="560"/>
        <w:spacing w:before="450" w:after="450" w:line="312" w:lineRule="auto"/>
      </w:pPr>
      <w:r>
        <w:rPr>
          <w:rFonts w:ascii="宋体" w:hAnsi="宋体" w:eastAsia="宋体" w:cs="宋体"/>
          <w:color w:val="000"/>
          <w:sz w:val="28"/>
          <w:szCs w:val="28"/>
        </w:rPr>
        <w:t xml:space="preserve">二、SPV的税收问题</w:t>
      </w:r>
    </w:p>
    <w:p>
      <w:pPr>
        <w:ind w:left="0" w:right="0" w:firstLine="560"/>
        <w:spacing w:before="450" w:after="450" w:line="312" w:lineRule="auto"/>
      </w:pPr>
      <w:r>
        <w:rPr>
          <w:rFonts w:ascii="宋体" w:hAnsi="宋体" w:eastAsia="宋体" w:cs="宋体"/>
          <w:color w:val="000"/>
          <w:sz w:val="28"/>
          <w:szCs w:val="28"/>
        </w:rPr>
        <w:t xml:space="preserve">1.基于SPV本身的税收问题。主要包括SPV法人居民身份的认定和SPV设立形式引起的税收差异。不同国家的法人居民身份认定规则有所差异,如公司组建地、中心管理和控制、公司所在地、实际管理机构所在地及总机构等。对于实行居民税收管辖权的国家来说,居民法人与非居民法人的税收待遇是不同的。通常对于居民法人需要就全球所得纳税,而非居民法人往往只就来源于本国的所得纳税。各国法人居民身份认定规则的差异为SPV的避税留有空间。</w:t>
      </w:r>
    </w:p>
    <w:p>
      <w:pPr>
        <w:ind w:left="0" w:right="0" w:firstLine="560"/>
        <w:spacing w:before="450" w:after="450" w:line="312" w:lineRule="auto"/>
      </w:pPr>
      <w:r>
        <w:rPr>
          <w:rFonts w:ascii="宋体" w:hAnsi="宋体" w:eastAsia="宋体" w:cs="宋体"/>
          <w:color w:val="000"/>
          <w:sz w:val="28"/>
          <w:szCs w:val="28"/>
        </w:rPr>
        <w:t xml:space="preserve">对于SPV的设立,依据我国《公司法》可能采取的形式为有限责任公司(含国有独资公司)、股份有限公司,国外还包括信托型SPV.从税收的角度来说,除了内外资企业所得税存在税收待遇的差别外,在我国SPV的设立形式本身并不会影响应纳的税收。值得一提的是,虽然股份有限公司的设立要求较高,审批手续也相对复杂,而有限责任公司的注册资金要求较低,但是对于日后的资信评级、信用增级及证券发行,股份有限公司则可能因其注册资金等较高的设立要求而占据比较优势。另外,如果资产化的证券受我国《公司法》及《证券法》的约束,那么要发行股权类证券前,有限责任公司应当首先改组为股份有限公司,才可能符合我国《证券法》所规定的股票公开发行条件;而对于发行债权类证券,《公司法》规定股份有限公司的净资产额应不低于人民币3000万元,而有限责任公司的净资产额不低于人民币6000万元。因此,在对于信托型SPV没有详细而明确的规定前,如果考虑到日后的证券发行问题,在我国设立SPV采取股份有限公司无疑是较为合适的。</w:t>
      </w:r>
    </w:p>
    <w:p>
      <w:pPr>
        <w:ind w:left="0" w:right="0" w:firstLine="560"/>
        <w:spacing w:before="450" w:after="450" w:line="312" w:lineRule="auto"/>
      </w:pPr>
      <w:r>
        <w:rPr>
          <w:rFonts w:ascii="宋体" w:hAnsi="宋体" w:eastAsia="宋体" w:cs="宋体"/>
          <w:color w:val="000"/>
          <w:sz w:val="28"/>
          <w:szCs w:val="28"/>
        </w:rPr>
        <w:t xml:space="preserve">2.基于资产转移和发行证券的税收问题。首先,SPV的取得资产支出面临着纳税扣除的问题。依据我国税法,在进行纳税扣除时,有关支出应当先区分收益性支出和资本性支出。发起人与SPV之间约定的资产转移方式及转让金额的支付方式都可能影响对支出性质的判断,从而适用的纳税扣除方法也将有所不同。比如,一次性支付资产转移的标的金额,应当视为资本性支出,并依据对于该资产规定的摊销年限进行摊销,这类支出通常不允许在税前一次性扣除。如果是按债务的偿还进度分期支付转让的金额,依据权责发生制和实质重于形式的原则,应当认定为收益性支出较为合适。如果涉及国家公共基础设施等的资产证券化,可以采取一定的税收鼓励性措施,在资产转移的纳税扣除上予以一定的扶持。</w:t>
      </w:r>
    </w:p>
    <w:p>
      <w:pPr>
        <w:ind w:left="0" w:right="0" w:firstLine="560"/>
        <w:spacing w:before="450" w:after="450" w:line="312" w:lineRule="auto"/>
      </w:pPr>
      <w:r>
        <w:rPr>
          <w:rFonts w:ascii="宋体" w:hAnsi="宋体" w:eastAsia="宋体" w:cs="宋体"/>
          <w:color w:val="000"/>
          <w:sz w:val="28"/>
          <w:szCs w:val="28"/>
        </w:rPr>
        <w:t xml:space="preserve">三、 投资者的税收问题 鉴于资产证券化特殊的融资作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2025-06-21T21:30:08+08:00</dcterms:created>
  <dcterms:modified xsi:type="dcterms:W3CDTF">2025-06-21T21:30:08+08:00</dcterms:modified>
</cp:coreProperties>
</file>

<file path=docProps/custom.xml><?xml version="1.0" encoding="utf-8"?>
<Properties xmlns="http://schemas.openxmlformats.org/officeDocument/2006/custom-properties" xmlns:vt="http://schemas.openxmlformats.org/officeDocument/2006/docPropsVTypes"/>
</file>