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政府非税收入管理分析</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政府非税收入管理分析”，希望可以助朋友们一臂之力!全国非税收入规模为8996.71亿元，占全国财政收入的13.1%。可见，非税收入已经成...</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论文对绝大多数的朋友们来说是必不可少的，为了让朋友们都能顺利的编写出所需的论文，论文频道小编专门编辑了“政府非税收入管理分析”，希望可以助朋友们一臂之力!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全国非税收入规模为8996.71亿元，占全国财政收入的13.1%。可见，非税收入已经成为财政收入的有机组成部分和税收收入不可或缺的补充形式。从总量上看，非税收入在地方财政收入的比例越来越大，其地位日趋重要，尤其是在优化资源配置、加强宏观调控，发展社会公共事业和提高公共服务水平方面发挥着更为积极的作用。</w:t>
      </w:r>
    </w:p>
    <w:p>
      <w:pPr>
        <w:ind w:left="0" w:right="0" w:firstLine="560"/>
        <w:spacing w:before="450" w:after="450" w:line="312" w:lineRule="auto"/>
      </w:pPr>
      <w:r>
        <w:rPr>
          <w:rFonts w:ascii="宋体" w:hAnsi="宋体" w:eastAsia="宋体" w:cs="宋体"/>
          <w:color w:val="000"/>
          <w:sz w:val="28"/>
          <w:szCs w:val="28"/>
        </w:rPr>
        <w:t xml:space="preserve">一、非税收入管理现状与原因</w:t>
      </w:r>
    </w:p>
    <w:p>
      <w:pPr>
        <w:ind w:left="0" w:right="0" w:firstLine="560"/>
        <w:spacing w:before="450" w:after="450" w:line="312" w:lineRule="auto"/>
      </w:pPr>
      <w:r>
        <w:rPr>
          <w:rFonts w:ascii="宋体" w:hAnsi="宋体" w:eastAsia="宋体" w:cs="宋体"/>
          <w:color w:val="000"/>
          <w:sz w:val="28"/>
          <w:szCs w:val="28"/>
        </w:rPr>
        <w:t xml:space="preserve">1.非税收入的管理体制与管理办法存在混乱</w:t>
      </w:r>
    </w:p>
    <w:p>
      <w:pPr>
        <w:ind w:left="0" w:right="0" w:firstLine="560"/>
        <w:spacing w:before="450" w:after="450" w:line="312" w:lineRule="auto"/>
      </w:pPr>
      <w:r>
        <w:rPr>
          <w:rFonts w:ascii="宋体" w:hAnsi="宋体" w:eastAsia="宋体" w:cs="宋体"/>
          <w:color w:val="000"/>
          <w:sz w:val="28"/>
          <w:szCs w:val="28"/>
        </w:rPr>
        <w:t xml:space="preserve">非税收入在财政部门管理过程中，仍然除以一个规范化的过程中。目前，基本明确收费的批准权限是地方政府，有财政和物价部门来管理项目审批和制定收费标准。整个过程缺乏以有效立法形式确认的正规程序。这造成实际工作中仅有一部分非税收入纳入预算管理中，大部分非税收入财政管理的视野之外。</w:t>
      </w:r>
    </w:p>
    <w:p>
      <w:pPr>
        <w:ind w:left="0" w:right="0" w:firstLine="560"/>
        <w:spacing w:before="450" w:after="450" w:line="312" w:lineRule="auto"/>
      </w:pPr>
      <w:r>
        <w:rPr>
          <w:rFonts w:ascii="宋体" w:hAnsi="宋体" w:eastAsia="宋体" w:cs="宋体"/>
          <w:color w:val="000"/>
          <w:sz w:val="28"/>
          <w:szCs w:val="28"/>
        </w:rPr>
        <w:t xml:space="preserve">2.非税收入票据管理弱</w:t>
      </w:r>
    </w:p>
    <w:p>
      <w:pPr>
        <w:ind w:left="0" w:right="0" w:firstLine="560"/>
        <w:spacing w:before="450" w:after="450" w:line="312" w:lineRule="auto"/>
      </w:pPr>
      <w:r>
        <w:rPr>
          <w:rFonts w:ascii="宋体" w:hAnsi="宋体" w:eastAsia="宋体" w:cs="宋体"/>
          <w:color w:val="000"/>
          <w:sz w:val="28"/>
          <w:szCs w:val="28"/>
        </w:rPr>
        <w:t xml:space="preserve">票据是资金运动的表现形式，各项收入对应着相应的票据，各项支出也是对应相应的票据。如果票据管理规范，如票据领购、发放、使用、保管、清算以及销毁等程序明了，各种挤占、挪用、截留、坐支行为就会从根本上杜绝。现在政府部门使用的非税收入票据主要加盖财政部门印章。由于缺乏监督部门，非税收入票据与税收票据相比较而言，管理上缺乏规范性与统一性。另一方面，非税收入票据种类繁多，多达百种，给管理上造成不变。</w:t>
      </w:r>
    </w:p>
    <w:p>
      <w:pPr>
        <w:ind w:left="0" w:right="0" w:firstLine="560"/>
        <w:spacing w:before="450" w:after="450" w:line="312" w:lineRule="auto"/>
      </w:pPr>
      <w:r>
        <w:rPr>
          <w:rFonts w:ascii="宋体" w:hAnsi="宋体" w:eastAsia="宋体" w:cs="宋体"/>
          <w:color w:val="000"/>
          <w:sz w:val="28"/>
          <w:szCs w:val="28"/>
        </w:rPr>
        <w:t xml:space="preserve">3.乱收费现象严重</w:t>
      </w:r>
    </w:p>
    <w:p>
      <w:pPr>
        <w:ind w:left="0" w:right="0" w:firstLine="560"/>
        <w:spacing w:before="450" w:after="450" w:line="312" w:lineRule="auto"/>
      </w:pPr>
      <w:r>
        <w:rPr>
          <w:rFonts w:ascii="宋体" w:hAnsi="宋体" w:eastAsia="宋体" w:cs="宋体"/>
          <w:color w:val="000"/>
          <w:sz w:val="28"/>
          <w:szCs w:val="28"/>
        </w:rPr>
        <w:t xml:space="preserve">一般将乱收费称之为第三次收费，因为这些非税收入是地方政府没有严格按照法定程序征得相关部门正式批准，凭借其行政权力和垄断优势而取得的收入。这些收入既没有纳入预算内，也未纳入预算外收入。目前乱收费现象比较严重，各种名目繁多的收费，是对正常市场秩序的严重干扰，导致市场资源配置功能紊乱。这不仅加重了企业和公民的负担，而且也对政府的声誉产生影响，削弱了政府的调控能力。</w:t>
      </w:r>
    </w:p>
    <w:p>
      <w:pPr>
        <w:ind w:left="0" w:right="0" w:firstLine="560"/>
        <w:spacing w:before="450" w:after="450" w:line="312" w:lineRule="auto"/>
      </w:pPr>
      <w:r>
        <w:rPr>
          <w:rFonts w:ascii="宋体" w:hAnsi="宋体" w:eastAsia="宋体" w:cs="宋体"/>
          <w:color w:val="000"/>
          <w:sz w:val="28"/>
          <w:szCs w:val="28"/>
        </w:rPr>
        <w:t xml:space="preserve">4.监管乏力</w:t>
      </w:r>
    </w:p>
    <w:p>
      <w:pPr>
        <w:ind w:left="0" w:right="0" w:firstLine="560"/>
        <w:spacing w:before="450" w:after="450" w:line="312" w:lineRule="auto"/>
      </w:pPr>
      <w:r>
        <w:rPr>
          <w:rFonts w:ascii="宋体" w:hAnsi="宋体" w:eastAsia="宋体" w:cs="宋体"/>
          <w:color w:val="000"/>
          <w:sz w:val="28"/>
          <w:szCs w:val="28"/>
        </w:rPr>
        <w:t xml:space="preserve">虽然纪检、、财政等在各自的职能范围行使监督权，但配合不力，单兵作战，有些无复检查，使被检查单位疲于应付；有些又成监管死角，监管不到。就是财政内部也协调不力，非税征收管理机关管征收，业务科（股）室负责对归口单位的财政专户资金支出的审批，国库科（股）室负责拨款。三者之间容易脱节，执收单位从非税征收机关领取票据进行收费，但不向非税征收机关报送收入进度报表，要直到执收单位来缴销票据时，非税管理机关才能知道执收单位收了多少费，是不是及时缴存财政专户，也不得而知，除非时常去执收单位检查；国库科（股）只是按执收单位缴来的资金，也不知道执收单位收了多少费，是否坐支、挪用，也监控不到，负责支出审批的科（股）就更不会监管执收单位收缴情况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2025-06-21T02:52:06+08:00</dcterms:created>
  <dcterms:modified xsi:type="dcterms:W3CDTF">2025-06-21T02:52:06+08:00</dcterms:modified>
</cp:coreProperties>
</file>

<file path=docProps/custom.xml><?xml version="1.0" encoding="utf-8"?>
<Properties xmlns="http://schemas.openxmlformats.org/officeDocument/2006/custom-properties" xmlns:vt="http://schemas.openxmlformats.org/officeDocument/2006/docPropsVTypes"/>
</file>