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浅析环境税的立法策略和立法原则</w:t>
      </w:r>
      <w:bookmarkEnd w:id="1"/>
    </w:p>
    <w:p>
      <w:pPr>
        <w:jc w:val="center"/>
        <w:spacing w:before="0" w:after="450"/>
      </w:pPr>
      <w:r>
        <w:rPr>
          <w:rFonts w:ascii="Arial" w:hAnsi="Arial" w:eastAsia="Arial" w:cs="Arial"/>
          <w:color w:val="999999"/>
          <w:sz w:val="20"/>
          <w:szCs w:val="20"/>
        </w:rPr>
        <w:t xml:space="preserve">来源：网络  作者：雨雪飘飘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析环境税的立法策略和立法原则”是由论文网论文频道小编特别编辑整理的，相信对需要各式各样的论文朋友有一定的帮助!伴随着环境问题在全球的日趋凸现，以及席卷全球的财政改革潮流，环境税制度在国际、区域、国家等多个层面受到越来越多...</w:t>
      </w:r>
    </w:p>
    <w:p>
      <w:pPr>
        <w:ind w:left="0" w:right="0" w:firstLine="560"/>
        <w:spacing w:before="450" w:after="450" w:line="312" w:lineRule="auto"/>
      </w:pPr>
      <w:r>
        <w:rPr>
          <w:rFonts w:ascii="宋体" w:hAnsi="宋体" w:eastAsia="宋体" w:cs="宋体"/>
          <w:color w:val="000"/>
          <w:sz w:val="28"/>
          <w:szCs w:val="28"/>
        </w:rPr>
        <w:t xml:space="preserve">广大朋友们，关于“浅析环境税的立法策略和立法原则”是由论文网论文频道小编特别编辑整理的，相信对需要各式各样的论文朋友有一定的帮助!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