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产业经济学论文</w:t>
      </w:r>
      <w:bookmarkEnd w:id="1"/>
    </w:p>
    <w:p>
      <w:pPr>
        <w:jc w:val="center"/>
        <w:spacing w:before="0" w:after="450"/>
      </w:pPr>
      <w:r>
        <w:rPr>
          <w:rFonts w:ascii="Arial" w:hAnsi="Arial" w:eastAsia="Arial" w:cs="Arial"/>
          <w:color w:val="999999"/>
          <w:sz w:val="20"/>
          <w:szCs w:val="20"/>
        </w:rPr>
        <w:t xml:space="preserve">来源：网络  作者：紫陌红颜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随着我国城镇化建设速度的不断加快,我国在城市建设中的问题也越来越突出。下面是范文网小编为大家推荐的产业经济学论文，供大家参考。 产业经济学论文范文一：地方能源消费CO2排放 1研究方法 1.1分部门能源消费CO。排放强度估算方法广东省各部...</w:t>
      </w:r>
    </w:p>
    <w:p>
      <w:pPr>
        <w:ind w:left="0" w:right="0" w:firstLine="560"/>
        <w:spacing w:before="450" w:after="450" w:line="312" w:lineRule="auto"/>
      </w:pPr>
      <w:r>
        <w:rPr>
          <w:rFonts w:ascii="宋体" w:hAnsi="宋体" w:eastAsia="宋体" w:cs="宋体"/>
          <w:color w:val="000"/>
          <w:sz w:val="28"/>
          <w:szCs w:val="28"/>
        </w:rPr>
        <w:t xml:space="preserve">随着我国城镇化建设速度的不断加快,我国在城市建设中的问题也越来越突出。下面是范文网小编为大家推荐的产业经济学论文，供大家参考。</w:t>
      </w:r>
    </w:p>
    <w:p>
      <w:pPr>
        <w:ind w:left="0" w:right="0" w:firstLine="560"/>
        <w:spacing w:before="450" w:after="450" w:line="312" w:lineRule="auto"/>
      </w:pPr>
      <w:r>
        <w:rPr>
          <w:rFonts w:ascii="宋体" w:hAnsi="宋体" w:eastAsia="宋体" w:cs="宋体"/>
          <w:color w:val="000"/>
          <w:sz w:val="28"/>
          <w:szCs w:val="28"/>
        </w:rPr>
        <w:t xml:space="preserve">产业经济学论文范文一：地方能源消费CO2排放</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1.1分部门能源消费CO。排放强度估算方法广东省各部门能源消费CO。排放强度的计算方法参考《IPCC2006国家温室气体排放清单指南》，R为广东省i部门单位产值的能源消费CO。排放量，Mt/万元;C为i部门的能源消费CO排放量，Mt;X为i部门的产值，万元;N为k燃料的低位热值，kJ/kg或kJ/m。;为消费的化石燃料类型数，种;C为k燃料的CO排放系数，kg/TJ或m。/TJ;A为i部门k燃料的消费量，kg或m。，对于农业，建筑业，交通运输、仓储和邮政业，批发、零售业和住宿、餐饮业和其他服务业有分燃料类型的能源消费量统计数据，而除建筑业外第二产业的其他部门缺少分燃料类型的能源消费量统计数据，故本研究采用估算数据。为确保测算的准确性与可靠性，各种化石燃料的低位热值及CO排放系数尽量采用适用于我国国情的数据(见表1)，具体资料来源于《中国能源统计年鉴2025》_1、国家发改委气候司《关于公布2025年中国区域电网基准排放因子的公告》[以及《中国温室气体清单研究》]。本研究得到的广东省各部门CO。排放数据，只包括化石燃料消费引起的排放量，同时没有包括CO。以外的温室气体的排放量。</w:t>
      </w:r>
    </w:p>
    <w:p>
      <w:pPr>
        <w:ind w:left="0" w:right="0" w:firstLine="560"/>
        <w:spacing w:before="450" w:after="450" w:line="312" w:lineRule="auto"/>
      </w:pPr>
      <w:r>
        <w:rPr>
          <w:rFonts w:ascii="宋体" w:hAnsi="宋体" w:eastAsia="宋体" w:cs="宋体"/>
          <w:color w:val="000"/>
          <w:sz w:val="28"/>
          <w:szCs w:val="28"/>
        </w:rPr>
        <w:t xml:space="preserve">1.2EIOLCA模型本研究基于EIO-LCA模型建立了广东省2025年的部门能源消费C02排放矩阵『】，具体计算见式(2)：BR(IA)Y(2)式中：B为各部门的能源消费CO。排放矩阵，b为B中元素(i为产品生产或服务提供部门的序号，J为产品或服务使用部门的序号，i一1，，，一1，，，为投入产出表中的部门数Mt(以COz计)，B的各行向量之和表示部门i在产品生产或服务提供过程中的CO直接排放量，各列向量之和表示部门J在生产中因使用部门i的产品或服务而产生的CO隐含排放量;R为对角矩阵，对角元素为R;(卜一A)为列昂惕夫逆阵，反映了经济的中间投入产出结构以及生产技术水平，其中f为单位矩阵，A为直接需求矩阵，a为A的元素，表示第J个部门增加～个单位的最终需求时所需要的i部门的产出，取值为2025年广东省(进口、调进)非竞争投入产出表中J部门对i部门产品或服务的直接消耗系数;Y为对角矩阵，对角元素为y，，表示J部门产品及服务的最终需求量(包括最终消费支出、资本形成、出口、调出)，万元。</w:t>
      </w:r>
    </w:p>
    <w:p>
      <w:pPr>
        <w:ind w:left="0" w:right="0" w:firstLine="560"/>
        <w:spacing w:before="450" w:after="450" w:line="312" w:lineRule="auto"/>
      </w:pPr>
      <w:r>
        <w:rPr>
          <w:rFonts w:ascii="宋体" w:hAnsi="宋体" w:eastAsia="宋体" w:cs="宋体"/>
          <w:color w:val="000"/>
          <w:sz w:val="28"/>
          <w:szCs w:val="28"/>
        </w:rPr>
        <w:t xml:space="preserve">1.3数据来源与处理本研究使用的主要数据资料有2025年广东省价值型投入产出表Dg]、分部门能源消费量。。由于投入产出表和能源消费量中的行业统计分类不完全对应，笔者以《国民经济行业分类》(GB/T4754～2025)为基本参考，调整投入产出表的135个部门为43个部门，具体分类如表2所示。2025年广东省价值型投入产出表只统计了各部门总的进口及调进产值，而未建立具体的进口及调进中间使用和最终使用矩阵，笔者按照WEBER等[2使用的比例等同法，假设各中间使用部门和最终使用部门对进口及调进产品的使用比例等同于对国内产品的使用比例，将各部门总的进口及调进产品进行分解，建立(进口、调进)非竞争投入产出表，得到43个部门的直接需求矩阵以及各部门产品或服务的最终需求量。《中国能源统计年鉴》给出了广东省农业，工业，建筑业，交通运输、仓储和邮政业，批发、零售业和住宿、餐饮业以及其他服务业不同燃料类型的能源最终消费数据，但未给出工业分行业的不同燃料类型的能源消费数据。而《广东统计年鉴》只统计了工业分行业的能源消费总量(以标准煤表示)，却没有细分至分燃料类型的能源消费量。笔者利用上述数据基于双比例尺度(RAS)法，以工业分行业的终端能源消费总量为列目标向量，工业不同类型能源的消费总量为行目标向量，取全国工业分行业终端能源消费量分配比例为初始条件，经多次迭代运算，以估算广东省工业分行业的不同燃料类型的能源消费量。</w:t>
      </w:r>
    </w:p>
    <w:p>
      <w:pPr>
        <w:ind w:left="0" w:right="0" w:firstLine="560"/>
        <w:spacing w:before="450" w:after="450" w:line="312" w:lineRule="auto"/>
      </w:pPr>
      <w:r>
        <w:rPr>
          <w:rFonts w:ascii="宋体" w:hAnsi="宋体" w:eastAsia="宋体" w:cs="宋体"/>
          <w:color w:val="000"/>
          <w:sz w:val="28"/>
          <w:szCs w:val="28"/>
        </w:rPr>
        <w:t xml:space="preserve">2结果与讨论</w:t>
      </w:r>
    </w:p>
    <w:p>
      <w:pPr>
        <w:ind w:left="0" w:right="0" w:firstLine="560"/>
        <w:spacing w:before="450" w:after="450" w:line="312" w:lineRule="auto"/>
      </w:pPr>
      <w:r>
        <w:rPr>
          <w:rFonts w:ascii="宋体" w:hAnsi="宋体" w:eastAsia="宋体" w:cs="宋体"/>
          <w:color w:val="000"/>
          <w:sz w:val="28"/>
          <w:szCs w:val="28"/>
        </w:rPr>
        <w:t xml:space="preserve">2.1基于部门生产的CO排放分析</w:t>
      </w:r>
    </w:p>
    <w:p>
      <w:pPr>
        <w:ind w:left="0" w:right="0" w:firstLine="560"/>
        <w:spacing w:before="450" w:after="450" w:line="312" w:lineRule="auto"/>
      </w:pPr>
      <w:r>
        <w:rPr>
          <w:rFonts w:ascii="宋体" w:hAnsi="宋体" w:eastAsia="宋体" w:cs="宋体"/>
          <w:color w:val="000"/>
          <w:sz w:val="28"/>
          <w:szCs w:val="28"/>
        </w:rPr>
        <w:t xml:space="preserve">广东省各部门能源消费的CO。直接排放量计算。2025年，广东省第一产业、第二产业、第三产业能源消费的Co。直接排放量分别为4.O9、31O.45、50.65Mt，所占比例分别为1.12、85.O1、13.87。可见，能源消费CO直接排放主要集中在第二产业，这其中电力、热力的生产和供应业能源消费的CO直接排放量最大，达184.02Mt，占排放总量的50.39;此外，非金属矿物制品业、交通运输业、黑色金属冶炼及压延加工业、纺织业能源消费的CO。直接排放量也较高，占排放总量的比例分别为12.29、11.66、3.90、2.4O;其余38个部门能源消费的直接CO。排放量之和仅占排放总量的19.36。因此，从部门生产的角度看，应重点针对这5个部门的生产制定CO减排政策，以控制生产中因能源消费而产生的CO。排放。广东省各部门单位产值的CO直接排放量(以下简称CO直接排放强度)计算结果。根据各部门的CO直接排放强度对表2中43个部门进行分组：直接排放强度小于0.37t/万元的为低碳强度组，0.37～3.70t/万元的为中碳强度组，高于3.70t/万元的为高碳强度组。2025年广东省各部门CO直接排放强度平均为0.37t/万元，各部门的直接排放强度差异显著，高碳强度组只有1个部门(电力、热力的生产和供应业)，其直接排放强度为4.98t/万元;中碳强度组有5个部门，分别为非金属矿物制品业，交通运输业，黑色金属冶炼及压延加工业，纺织业，石油加工、炼焦及核燃料加工业，其余的37个部门都属于低碳强度组。可见，要降低广东省的CO。直接排放强度，首要应当提高中、高碳强度组部门的能源利用效率。刘畅等_2]的研究指出，科研经费支出的增加有助于高耗能部门能源效率的提高;滕玉华等_23]的研究发现，外商直接在我国投资引致的研究与开发溢出对我国东部地区的能源效率表现出明显的影响。由此可得，提高科研经费支出，加强节能技术的开发利用，引进外商的直接投资都有利于提高广东省中、高碳强度组部门的能源利用效率，降低CO直接排放强度，从而实现能源消费的CO减排。</w:t>
      </w:r>
    </w:p>
    <w:p>
      <w:pPr>
        <w:ind w:left="0" w:right="0" w:firstLine="560"/>
        <w:spacing w:before="450" w:after="450" w:line="312" w:lineRule="auto"/>
      </w:pPr>
      <w:r>
        <w:rPr>
          <w:rFonts w:ascii="宋体" w:hAnsi="宋体" w:eastAsia="宋体" w:cs="宋体"/>
          <w:color w:val="000"/>
          <w:sz w:val="28"/>
          <w:szCs w:val="28"/>
        </w:rPr>
        <w:t xml:space="preserve">2.2基于最终需求的Co。排放分析</w:t>
      </w:r>
    </w:p>
    <w:p>
      <w:pPr>
        <w:ind w:left="0" w:right="0" w:firstLine="560"/>
        <w:spacing w:before="450" w:after="450" w:line="312" w:lineRule="auto"/>
      </w:pPr>
      <w:r>
        <w:rPr>
          <w:rFonts w:ascii="宋体" w:hAnsi="宋体" w:eastAsia="宋体" w:cs="宋体"/>
          <w:color w:val="000"/>
          <w:sz w:val="28"/>
          <w:szCs w:val="28"/>
        </w:rPr>
        <w:t xml:space="preserve">广东省各部门能源消费的CO隐含排放量计算结果见图2。2025年，广东省第一产业、第二产业、第三产业能源消费的CO隐含排放量分别为4.88、313.03、47.29Mt，所占比例分别为1.34、85.729/6、12.95。可见，能源消费CO隐含排放也主要集中于第二产业，这其中建筑业的排放量最大，为67.18Mt，占排放总量的18.40。此外，非金属矿物制品业，通信设备、计算机及其他电子设备制造业，电力、热力的生产和供应业，黑色金属冶炼及压延加工业能源消费的CO隐含排放量也较大，分别占排放总量的7.96、7.34、6.69、5.64。与能源消费CO直接排放量的部门分布情况相比，能源消费CO隐含排放量的部门集中度相比较低，其余38个部门能源消费的CO隐含排放量之和占总量的53.97。广东省各部门单位最终需求引起的CO隐含排放量(简称CO。隐含排放强度)的计算结果亦。根据计算结果对43个部门的CO隐含排放强度进行分组：隐含排放强度小于0.57t/万元的为低碳密集组，0.57～5.70t/万元的为中碳密集组，高于5.70t/万元的为高碳密集组。由图2可见，2025年广东省各部门的CO。隐含排放强度平均为0.57t/万元，高碳密集组只有一个部门(电力、热力的生产和供应业)，其隐含排放强度为7.83t/万元;而中碳密集组有20个部门，其余的22个部门属低碳密集组。根据广东省2025年(进口、调进)非竞争投入产出表中J部门对i部门产品或服务的直接消耗系数得，中、高碳密集组的部门具有密集使用COz直接排放强度高的部门的产品的特点。因此，要降低各部门的CO隐排放强度，其根本仍立足于提高电力、热力的生产和供应业，非金属矿物制品业，黑色金属冶炼及压延加工业等高能耗部门的能源利用效率。不同的最终需求类型对各部门能源消费的CO隐含排放量的贡献具有明显差异。建筑业的CO。隐含排放主要由省内资本形成引起;通信设备、计算机及其他电子设备制造业，电气机械及器材制造业，纺织服装、鞋、帽制造业，非金属矿物制品业，黑色金属冶炼及压延加工业这些部门的CO。隐含排放主要由省外需求(出口及调出)引起;电力、热力的生产和供应业以及属第三产业的部门的CO隐含排放则主要由省内消费需求引起。统计各部门不同最终需求类型的CO隐含排放情况得出，由出口引起的CO隐含排放量最大，为135.94Mt，占排放总量的37.22其次是由调出、资本形成、最终消费支出引起的，其各自的CO隐含排放量所占比例分别为27.57、19.23、15.98。可见，广东省能源消费CO排放主要是由省外的需求引起的。</w:t>
      </w:r>
    </w:p>
    <w:p>
      <w:pPr>
        <w:ind w:left="0" w:right="0" w:firstLine="560"/>
        <w:spacing w:before="450" w:after="450" w:line="312" w:lineRule="auto"/>
      </w:pPr>
      <w:r>
        <w:rPr>
          <w:rFonts w:ascii="宋体" w:hAnsi="宋体" w:eastAsia="宋体" w:cs="宋体"/>
          <w:color w:val="000"/>
          <w:sz w:val="28"/>
          <w:szCs w:val="28"/>
        </w:rPr>
        <w:t xml:space="preserve">对于高碳密集组，电力、热力的生产和供应业的最终需求能源消费的CO。隐含排放量并不大，其主要因省内居民消费需求所引起的。对于中碳密集组，建筑业、非金属矿物制品业、黑色金属冶炼及压延加工业、纺织业、交通运输业、塑料制品业这6个部门的CO。隐含排放量均超过10Mt，这些部门的产品或服务需要引起的CO2排放量较高。其中，非金属矿物制品业、黑色金属冶炼及压延加工业、纺织业、交通运输业、塑料制品业这5个部门的最终需求大部分来源于省外，仅这5个部门的产品因出口国外的需求引起的C02隐含排放量之和就为59.95Mt，占广东省排放总量的16.41，而这5个部门产品因调出省外的需求而引起的CO隐含排放量之和为39.70Mt，占排放总量的10.87。可见，对于这些部门应当从产业政策、税收政策上对其规模扩张和产品出口量进行适当限制，防止高碳耗能产品从广东省大量低价地出口及调出。与上述5个部门不同，建筑业的最终需求主要来自于省内资本形成，其引起的CO。隐含排放量为65.63Mt，占广东省排放总量的17.97。魏一鸣等_2依据2025年我国122个部门投入产出表计算得到投资的行业需求结构，指出建筑业是投资支出的主体。若投资率过高，导致建筑业的最终需求增加，大规模的土建工程需求消耗大量高耗能产品，会造成大量的CO隐含排放。而有研究者采用完全分解的Laspeyres指数分解模型，对1995-2025年广东省的能源消耗强度进行分解，发现1995年以来的14年间，广东省建筑业的能源消费强度不降反升。由此看来，对于广东省建筑业的发展需要进行有效指导，防止重复建设、过度建设以及不合理规划导致的能源浪费，从而减少建筑业的CO隐含排放量。</w:t>
      </w:r>
    </w:p>
    <w:p>
      <w:pPr>
        <w:ind w:left="0" w:right="0" w:firstLine="560"/>
        <w:spacing w:before="450" w:after="450" w:line="312" w:lineRule="auto"/>
      </w:pPr>
      <w:r>
        <w:rPr>
          <w:rFonts w:ascii="宋体" w:hAnsi="宋体" w:eastAsia="宋体" w:cs="宋体"/>
          <w:color w:val="000"/>
          <w:sz w:val="28"/>
          <w:szCs w:val="28"/>
        </w:rPr>
        <w:t xml:space="preserve">对于低碳密集组，通信设备、计算机及其他电子设备制造业，电气、机械及器材制造业，批发和零售贸易业、餐饮业以及其他等4个部门的CO。隐含排放量均超过10Mt，这些部门的产品或服务需要引起的CO排放量较高。通信设备、计算机及其他电子设备制造业，电气、机械及器材制造业这2个部门的最终需求主要来源于省外，这2个部门的产品因出口及调出的需求引起的排放量为42.93Mt。批发和零售贸易业、餐饮业以及其他这2个部门的最终需求主要来源于省内，这2个部门的产品因省内居民消费需求引起的排放量为22.88Mt。与中碳密集组不同，低碳密集组中这几个排放量比较高的部门在引起大量的CO。隐含排放的同时，为广东省带来了巨大的经济效益。以通信设备、计算机及其他电子设备制造业为例，该部门为满足出口或调出的需求而引起1tCO。隐含排放量的同时，也能为广东省带来0.93万元的增加值。而根据张治军朝的计算，在广西人工林的固碳成本约为0.07万元/t(以CO计)。可见，对于这些部门而言，可以通过支付人工林的建设等简单的固碳方式，来间接解决部门CO隐含排放量大的问题。</w:t>
      </w:r>
    </w:p>
    <w:p>
      <w:pPr>
        <w:ind w:left="0" w:right="0" w:firstLine="560"/>
        <w:spacing w:before="450" w:after="450" w:line="312" w:lineRule="auto"/>
      </w:pPr>
      <w:r>
        <w:rPr>
          <w:rFonts w:ascii="宋体" w:hAnsi="宋体" w:eastAsia="宋体" w:cs="宋体"/>
          <w:color w:val="000"/>
          <w:sz w:val="28"/>
          <w:szCs w:val="28"/>
        </w:rPr>
        <w:t xml:space="preserve">3结论与建议</w:t>
      </w:r>
    </w:p>
    <w:p>
      <w:pPr>
        <w:ind w:left="0" w:right="0" w:firstLine="560"/>
        <w:spacing w:before="450" w:after="450" w:line="312" w:lineRule="auto"/>
      </w:pPr>
      <w:r>
        <w:rPr>
          <w:rFonts w:ascii="宋体" w:hAnsi="宋体" w:eastAsia="宋体" w:cs="宋体"/>
          <w:color w:val="000"/>
          <w:sz w:val="28"/>
          <w:szCs w:val="28"/>
        </w:rPr>
        <w:t xml:space="preserve">从通过基于EIOLCA模型建立的2025年广东省部门能源消费CO排放矩阵分析可得：</w:t>
      </w:r>
    </w:p>
    <w:p>
      <w:pPr>
        <w:ind w:left="0" w:right="0" w:firstLine="560"/>
        <w:spacing w:before="450" w:after="450" w:line="312" w:lineRule="auto"/>
      </w:pPr>
      <w:r>
        <w:rPr>
          <w:rFonts w:ascii="宋体" w:hAnsi="宋体" w:eastAsia="宋体" w:cs="宋体"/>
          <w:color w:val="000"/>
          <w:sz w:val="28"/>
          <w:szCs w:val="28"/>
        </w:rPr>
        <w:t xml:space="preserve">(1)不论是从部门的生产视角，还是从最终需求视角看，广东省能源消费CO排放都集中于第二产业。其中，CO直接排放量集中于电力、热力的生产和供应业，占排放总量的5o.39，而CO隐含排放量最大部门为建筑业，占排放总量的18.4O。</w:t>
      </w:r>
    </w:p>
    <w:p>
      <w:pPr>
        <w:ind w:left="0" w:right="0" w:firstLine="560"/>
        <w:spacing w:before="450" w:after="450" w:line="312" w:lineRule="auto"/>
      </w:pPr>
      <w:r>
        <w:rPr>
          <w:rFonts w:ascii="宋体" w:hAnsi="宋体" w:eastAsia="宋体" w:cs="宋体"/>
          <w:color w:val="000"/>
          <w:sz w:val="28"/>
          <w:szCs w:val="28"/>
        </w:rPr>
        <w:t xml:space="preserve">(2)从部门生产的CO排放分析看，电力、热力的生产和供应业是CO直接排放强度最高的部门，直接排放强度达4.98t/万元。提高高耗能部门的能源利用效率是减少CO排放量最为有效的方法之一。</w:t>
      </w:r>
    </w:p>
    <w:p>
      <w:pPr>
        <w:ind w:left="0" w:right="0" w:firstLine="560"/>
        <w:spacing w:before="450" w:after="450" w:line="312" w:lineRule="auto"/>
      </w:pPr>
      <w:r>
        <w:rPr>
          <w:rFonts w:ascii="宋体" w:hAnsi="宋体" w:eastAsia="宋体" w:cs="宋体"/>
          <w:color w:val="000"/>
          <w:sz w:val="28"/>
          <w:szCs w:val="28"/>
        </w:rPr>
        <w:t xml:space="preserve">(3)从部门最终需求的CO排放分析看，广东省能源消费CO排放主要是由省外的需求引起，占排放总量的64.79。不同最终需求对各部门的CO隐含排放量的贡献表现出明显的差异，建筑业的CO隐含排放主要由省内资本形成引起;通信设备、计算机及其他电子设备制造业，电气、机械及器材制造业，纺织服装、鞋、帽制造业，非金属矿物制品业，黑色金属冶炼及压延加工业这些部门的CO。隐含排放主要由省外需求引起;电力、热力的生产和供应业以及属第三产业部门的CO隐含排放则主要由省内消费需求引起。对于不同的部门，应当针对其CO。隐含排放的特点，制定相关的减排策略。</w:t>
      </w:r>
    </w:p>
    <w:p>
      <w:pPr>
        <w:ind w:left="0" w:right="0" w:firstLine="560"/>
        <w:spacing w:before="450" w:after="450" w:line="312" w:lineRule="auto"/>
      </w:pPr>
      <w:r>
        <w:rPr>
          <w:rFonts w:ascii="宋体" w:hAnsi="宋体" w:eastAsia="宋体" w:cs="宋体"/>
          <w:color w:val="000"/>
          <w:sz w:val="28"/>
          <w:szCs w:val="28"/>
        </w:rPr>
        <w:t xml:space="preserve">产业经济学论文范文二：铝箔纸压弧辊及导纸板的创新</w:t>
      </w:r>
    </w:p>
    <w:p>
      <w:pPr>
        <w:ind w:left="0" w:right="0" w:firstLine="560"/>
        <w:spacing w:before="450" w:after="450" w:line="312" w:lineRule="auto"/>
      </w:pPr>
      <w:r>
        <w:rPr>
          <w:rFonts w:ascii="宋体" w:hAnsi="宋体" w:eastAsia="宋体" w:cs="宋体"/>
          <w:color w:val="000"/>
          <w:sz w:val="28"/>
          <w:szCs w:val="28"/>
        </w:rPr>
        <w:t xml:space="preserve">摘要：YB25软盒包装机铝箔纸输送机构的工作原理，分析了铝箔纸在输送过程中出现弯曲、打卷、存纸和偏斜等故障的原因,详细地阐述了各种解决方法和效果,最终通过对压弧辊及导纸板的改造,解决了铝箔纸输送稳定性较差的问题。</w:t>
      </w:r>
    </w:p>
    <w:p>
      <w:pPr>
        <w:ind w:left="0" w:right="0" w:firstLine="560"/>
        <w:spacing w:before="450" w:after="450" w:line="312" w:lineRule="auto"/>
      </w:pPr>
      <w:r>
        <w:rPr>
          <w:rFonts w:ascii="宋体" w:hAnsi="宋体" w:eastAsia="宋体" w:cs="宋体"/>
          <w:color w:val="000"/>
          <w:sz w:val="28"/>
          <w:szCs w:val="28"/>
        </w:rPr>
        <w:t xml:space="preserve">关键词：单张铝箔纸;压痕辊;导纸板;压弧辊YB25软盒包装机是上海烟草工业机械厂代表中方从意大利G.D公司引进并消化XISC包装机全套制造技术生产的国产卷烟包装设备，具有包装质量好、性能稳定、运行速度快、自动化程度高等优点，是目前我国卷烟软盒包装设备的主流机型。但在生产过程中，由于设备本身的设计缺陷和原辅材料质量的影响，YB25软盒包装机铝箔纸输送装置运行中，存在较为严重的堵纸和单张铝箔纸输送偏斜问题，致使小合烟包铝箔纸顶、底部折叠不好等诸多质量缺陷和存纸现象，严重影响设备的正常运转。经自行多次检修，聘请主机厂(上海烟机厂)师傅调整，均未取得良好的效果，随着设备运行时间的延长，此问题日趋严重。通过对铝箔纸输送装置的分析研究，根据兄弟烟厂对铝箔纸压弧辊改造的特点，摸索出增加铝箔纸压弧辊的新方法，最终成功地解决了铝箔纸在输送过程中的存纸、偏斜等问题。</w:t>
      </w:r>
    </w:p>
    <w:p>
      <w:pPr>
        <w:ind w:left="0" w:right="0" w:firstLine="560"/>
        <w:spacing w:before="450" w:after="450" w:line="312" w:lineRule="auto"/>
      </w:pPr>
      <w:r>
        <w:rPr>
          <w:rFonts w:ascii="宋体" w:hAnsi="宋体" w:eastAsia="宋体" w:cs="宋体"/>
          <w:color w:val="000"/>
          <w:sz w:val="28"/>
          <w:szCs w:val="28"/>
        </w:rPr>
        <w:t xml:space="preserve">1铝箔纸输送装置传动结构原理分析</w:t>
      </w:r>
    </w:p>
    <w:p>
      <w:pPr>
        <w:ind w:left="0" w:right="0" w:firstLine="560"/>
        <w:spacing w:before="450" w:after="450" w:line="312" w:lineRule="auto"/>
      </w:pPr>
      <w:r>
        <w:rPr>
          <w:rFonts w:ascii="宋体" w:hAnsi="宋体" w:eastAsia="宋体" w:cs="宋体"/>
          <w:color w:val="000"/>
          <w:sz w:val="28"/>
          <w:szCs w:val="28"/>
        </w:rPr>
        <w:t xml:space="preserve">铝箔纸输送装置动力来自主传动系统的轴，通过安装在轴上的两个齿轮,分两路传递，驱动各输送辊齿轮，齿轮啮合带动各输送辊、延展辊，实现铝箔纸向下输送到一号轮前端由左、右滑杆进行定位。</w:t>
      </w:r>
    </w:p>
    <w:p>
      <w:pPr>
        <w:ind w:left="0" w:right="0" w:firstLine="560"/>
        <w:spacing w:before="450" w:after="450" w:line="312" w:lineRule="auto"/>
      </w:pPr>
      <w:r>
        <w:rPr>
          <w:rFonts w:ascii="宋体" w:hAnsi="宋体" w:eastAsia="宋体" w:cs="宋体"/>
          <w:color w:val="000"/>
          <w:sz w:val="28"/>
          <w:szCs w:val="28"/>
        </w:rPr>
        <w:t xml:space="preserve">2铝箔纸输送机构工作原理</w:t>
      </w:r>
    </w:p>
    <w:p>
      <w:pPr>
        <w:ind w:left="0" w:right="0" w:firstLine="560"/>
        <w:spacing w:before="450" w:after="450" w:line="312" w:lineRule="auto"/>
      </w:pPr>
      <w:r>
        <w:rPr>
          <w:rFonts w:ascii="宋体" w:hAnsi="宋体" w:eastAsia="宋体" w:cs="宋体"/>
          <w:color w:val="000"/>
          <w:sz w:val="28"/>
          <w:szCs w:val="28"/>
        </w:rPr>
        <w:t xml:space="preserve">铝箔纸供给系统是由一系列的输送辊和过纸辊组成，经过展开驱动辊和过纸辊展开后，进入其分阶段切割流程。为了避免铝箔纸切割后出现弯曲、打卷现象，在铝箔纸切刀前设计安装了一对压痕辊和两对压弧辊。压痕辊有三方面作用：一是与驱动辊配合完成铝箔纸的展开驱动，二是在铝箔纸两侧滚压压痕，防止其出现弯曲、打卷现象。三是在铝箔纸上打印产品生产班次。压弧辊的作用是在铝箔纸经过时滚压出轻微纵向弧痕，以达到给铝箔纸导向的目的，防止切割后的铝箔纸断面在向下运动时出现翘曲。带有压痕的铝箔纸，经过铝箔纸切刀的切割后，被分切成合格的单张铝箔纸，每张铝箔纸再依次由输送辊、输送凸轮辊和加速轮输送，最终到达左、右滑杆处进行定位，在此处与一号轮输送来的烟支共同推入铝箔纸包装成型轮(2#轮)，进入烟包铝箔纸的折叠过程。</w:t>
      </w:r>
    </w:p>
    <w:p>
      <w:pPr>
        <w:ind w:left="0" w:right="0" w:firstLine="560"/>
        <w:spacing w:before="450" w:after="450" w:line="312" w:lineRule="auto"/>
      </w:pPr>
      <w:r>
        <w:rPr>
          <w:rFonts w:ascii="宋体" w:hAnsi="宋体" w:eastAsia="宋体" w:cs="宋体"/>
          <w:color w:val="000"/>
          <w:sz w:val="28"/>
          <w:szCs w:val="28"/>
        </w:rPr>
        <w:t xml:space="preserve">3故障表现形式</w:t>
      </w:r>
    </w:p>
    <w:p>
      <w:pPr>
        <w:ind w:left="0" w:right="0" w:firstLine="560"/>
        <w:spacing w:before="450" w:after="450" w:line="312" w:lineRule="auto"/>
      </w:pPr>
      <w:r>
        <w:rPr>
          <w:rFonts w:ascii="宋体" w:hAnsi="宋体" w:eastAsia="宋体" w:cs="宋体"/>
          <w:color w:val="000"/>
          <w:sz w:val="28"/>
          <w:szCs w:val="28"/>
        </w:rPr>
        <w:t xml:space="preserve">设备运转时，特别是当压痕辊磨损后,铝箔纸从切刀下部通道断开处跑出,或在通道下部的定位处出现弯曲、打卷现象，使铝箔纸在通道内堵塞，或出现铝箔纸不能准确定位，导致铝箔纸烟包顶、底部折叠不好，剔除烟包数量增加，影响设备正常运转，不但增加了原辅材料的消耗，而且加大了操作工的劳动强度，影响设备的有效作业率和产品的包装质量。</w:t>
      </w:r>
    </w:p>
    <w:p>
      <w:pPr>
        <w:ind w:left="0" w:right="0" w:firstLine="560"/>
        <w:spacing w:before="450" w:after="450" w:line="312" w:lineRule="auto"/>
      </w:pPr>
      <w:r>
        <w:rPr>
          <w:rFonts w:ascii="宋体" w:hAnsi="宋体" w:eastAsia="宋体" w:cs="宋体"/>
          <w:color w:val="000"/>
          <w:sz w:val="28"/>
          <w:szCs w:val="28"/>
        </w:rPr>
        <w:t xml:space="preserve">4原因分析</w:t>
      </w:r>
    </w:p>
    <w:p>
      <w:pPr>
        <w:ind w:left="0" w:right="0" w:firstLine="560"/>
        <w:spacing w:before="450" w:after="450" w:line="312" w:lineRule="auto"/>
      </w:pPr>
      <w:r>
        <w:rPr>
          <w:rFonts w:ascii="宋体" w:hAnsi="宋体" w:eastAsia="宋体" w:cs="宋体"/>
          <w:color w:val="000"/>
          <w:sz w:val="28"/>
          <w:szCs w:val="28"/>
        </w:rPr>
        <w:t xml:space="preserve">针对上述故障表现，进行大量分析和认真研究，认为要将此类问题彻底解决，最根本的途径是必须保证铝箔纸在通道内输送过程中保持挺直，使铝箔纸输送稳定。</w:t>
      </w:r>
    </w:p>
    <w:p>
      <w:pPr>
        <w:ind w:left="0" w:right="0" w:firstLine="560"/>
        <w:spacing w:before="450" w:after="450" w:line="312" w:lineRule="auto"/>
      </w:pPr>
      <w:r>
        <w:rPr>
          <w:rFonts w:ascii="宋体" w:hAnsi="宋体" w:eastAsia="宋体" w:cs="宋体"/>
          <w:color w:val="000"/>
          <w:sz w:val="28"/>
          <w:szCs w:val="28"/>
        </w:rPr>
        <w:t xml:space="preserve">在实际的使用过程中，由于铝箔纸在运输过程、仓储过程中的温差变化，以及季节变化造成的温湿度变化等都会对铝箔纸的应用产生一定的影响;设备运转中，当压痕辊磨损，无法在铝箔纸上滚压压痕，铝箔纸会出现弯曲、打卷现象。纵观其整个输送通道，大部分都是由导板予以导向的,也就是说,大部分通道是封闭的,封闭通道内铝箔纸的输送是稳定的,但封闭通道有两处断开较大部分:一处使铝箔纸切刀处。另一处是铝箔纸加速轮与定位叉之间。所以，这两处是铝箔纸容易弯曲、打卷和产生阻力的地方，在设备的实际运行中，也正是如此。</w:t>
      </w:r>
    </w:p>
    <w:p>
      <w:pPr>
        <w:ind w:left="0" w:right="0" w:firstLine="560"/>
        <w:spacing w:before="450" w:after="450" w:line="312" w:lineRule="auto"/>
      </w:pPr>
      <w:r>
        <w:rPr>
          <w:rFonts w:ascii="宋体" w:hAnsi="宋体" w:eastAsia="宋体" w:cs="宋体"/>
          <w:color w:val="000"/>
          <w:sz w:val="28"/>
          <w:szCs w:val="28"/>
        </w:rPr>
        <w:t xml:space="preserve">从2025年第一台ZB25包装机组引进至2025年，运行中普遍存在着铝箔纸输送过程中产生堵纸、打卷等现象，冬季尤为突出,针对这一现象,车间维修工、技术人员先后提出以下改进方案和具体实施办法：</w:t>
      </w:r>
    </w:p>
    <w:p>
      <w:pPr>
        <w:ind w:left="0" w:right="0" w:firstLine="560"/>
        <w:spacing w:before="450" w:after="450" w:line="312" w:lineRule="auto"/>
      </w:pPr>
      <w:r>
        <w:rPr>
          <w:rFonts w:ascii="宋体" w:hAnsi="宋体" w:eastAsia="宋体" w:cs="宋体"/>
          <w:color w:val="000"/>
          <w:sz w:val="28"/>
          <w:szCs w:val="28"/>
        </w:rPr>
        <w:t xml:space="preserve">①考虑到设备运行时间较长，零部件磨损程度不一，更换04部件的铝箔纸橡胶牵引辊(2XBWA2)、压痕辊(2XCML1)、加速辊(3XA309)、加速轴(OX9229)(OX9232)。②调整左滑杆(2XDSA4)、右滑杆(2XDWA9),根据单张铝箔纸在一号轮前定位时，前后高低位置不一致，确定高低差值，对输送偏斜的单张铝箔纸进行重新校正。通过以上更换备件与调整，均未取得良好的效果，仍存在铝箔纸输送偏斜、堵纸现象，影响产品质量和设备的正常运行。③将铝箔纸输送改为真空吸风带传送，改造部位较大、费用较高，维修困难。④将铝箔纸通道改为全封闭的，实现起来存在较大的难度，而由于铝箔纸压痕辊的压筋轮廓为直角，如将其尺寸加大来加深则容易将铝箔纸压破。⑤改变凹辊的槽半径和加宽凸辊的宽度，安装使用后效果也不理想。</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根据以上改进方案，最终决定对铝箔纸压弧辊进行改造。在不改变其导向作用的前提下，增加铝箔纸压弧数量，使其更加挺直，有利于铝箔纸在通道内正常输送。另外，在增加压弧辊后，压弧辊形状的改变又受到铝箔纸导纸板的限制，所以，在经过认真分析、验证后，我们对其两侧的导纸板进行改造，有利于压弧辊的正常安装和使用。</w:t>
      </w:r>
    </w:p>
    <w:p>
      <w:pPr>
        <w:ind w:left="0" w:right="0" w:firstLine="560"/>
        <w:spacing w:before="450" w:after="450" w:line="312" w:lineRule="auto"/>
      </w:pPr>
      <w:r>
        <w:rPr>
          <w:rFonts w:ascii="宋体" w:hAnsi="宋体" w:eastAsia="宋体" w:cs="宋体"/>
          <w:color w:val="000"/>
          <w:sz w:val="28"/>
          <w:szCs w:val="28"/>
        </w:rPr>
        <w:t xml:space="preserve">要想使铝箔纸在通道的输送过程中增加压弧量,就必须拆除其原部件的两对压弧辊(见图1), 重新安装相应的四组压弧辊，四组压弧辊的外径相同，两组内径不同(见图2)。四组压弧辊的外径是根据原件凹辊的外径而确定的，经上海烟机厂为我厂专门定做。四组压弧辊的安装位置(见图3、4)，安装要求是通过观察铝箔纸的压弧状况进行确定。首先，要保证铝箔纸在输送过程中不能被压破;其次，要使压弧辊滚压出4条相同的弧痕，铝箔纸弧痕要分明，且挺直。由于在主动轴和从动轴上各加了两组压弧辊，就必须对原有导纸板进行加工改造(见图5)，便于压弧辊的安装和调整，改造后的导纸板(见图6)。从而增强了铝箔纸的挺直性，使得铝箔纸在输送通道内不易打卷、弯曲，稳定的向下输送，达到预期的改进效果。</w:t>
      </w:r>
    </w:p>
    <w:p>
      <w:pPr>
        <w:ind w:left="0" w:right="0" w:firstLine="560"/>
        <w:spacing w:before="450" w:after="450" w:line="312" w:lineRule="auto"/>
      </w:pPr>
      <w:r>
        <w:rPr>
          <w:rFonts w:ascii="宋体" w:hAnsi="宋体" w:eastAsia="宋体" w:cs="宋体"/>
          <w:color w:val="000"/>
          <w:sz w:val="28"/>
          <w:szCs w:val="28"/>
        </w:rPr>
        <w:t xml:space="preserve">①此项改进节约了辅料;减少了因铝箔纸堵塞故障而造成的停机，降低了铝箔纸消耗。根据实际调查统计，铝箔纸单耗比改进前降低了0.08kg/箱(改进前为3.12kg/箱，改进后为3.04kg/箱)，铝箔纸打卷堵塞明显减少。②由于此项技术的成功改进，YB25包装机还节约了设备备件费用。在改进前，当铝箔纸压痕辊使用6个月时，压痕辊上的压痕筋就因磨损而起不到压痕作用，开始出现铝箔纸弯曲、打卷现象，就要更换压痕辊来保证设备的正常运转。改进后，当压痕辊的压痕筋磨损后，由于4对压弧辊的作用，依然能对铝箔纸滚压弧线，保证铝箔纸的正常输送。这样，在压痕辊压筋磨损但并不影响其输送功能的前提下，就不必更换压痕辊，使铝箔纸压痕辊的使用寿命由原来的6个月延长到2年，此项改造的成功，每年可节约的备件费用为：改造前一对压弧辊的造价：58002=11600(元);改造后一对压弧辊的造价：2408 =1920 (元);节约费用：11600-1920=9680(元)。</w:t>
      </w:r>
    </w:p>
    <w:p>
      <w:pPr>
        <w:ind w:left="0" w:right="0" w:firstLine="560"/>
        <w:spacing w:before="450" w:after="450" w:line="312" w:lineRule="auto"/>
      </w:pPr>
      <w:r>
        <w:rPr>
          <w:rFonts w:ascii="宋体" w:hAnsi="宋体" w:eastAsia="宋体" w:cs="宋体"/>
          <w:color w:val="000"/>
          <w:sz w:val="28"/>
          <w:szCs w:val="28"/>
        </w:rPr>
        <w:t xml:space="preserve">综合所述，我们对铝箔纸压弧辊的改进是成功的，并通过这次改造，提高了自身分析问题、解决问题的能力，为今后技术创新和改造打下了良好的基础。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2025-06-22T08:12:11+08:00</dcterms:created>
  <dcterms:modified xsi:type="dcterms:W3CDTF">2025-06-22T08:12:11+08:00</dcterms:modified>
</cp:coreProperties>
</file>

<file path=docProps/custom.xml><?xml version="1.0" encoding="utf-8"?>
<Properties xmlns="http://schemas.openxmlformats.org/officeDocument/2006/custom-properties" xmlns:vt="http://schemas.openxmlformats.org/officeDocument/2006/docPropsVTypes"/>
</file>