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新政治经济学：范式革命与异端的综合</w:t>
      </w:r>
      <w:bookmarkEnd w:id="1"/>
    </w:p>
    <w:p>
      <w:pPr>
        <w:jc w:val="center"/>
        <w:spacing w:before="0" w:after="450"/>
      </w:pPr>
      <w:r>
        <w:rPr>
          <w:rFonts w:ascii="Arial" w:hAnsi="Arial" w:eastAsia="Arial" w:cs="Arial"/>
          <w:color w:val="999999"/>
          <w:sz w:val="20"/>
          <w:szCs w:val="20"/>
        </w:rPr>
        <w:t xml:space="preserve">来源：网络  作者：紫云飞舞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 经济 学改革国际运动”的兴起标志着“ 现代 经济学”的 发展 遇到了自大萧条以来最严重的危机[①], 本文对此提供了一种激进的解决方案。论文首先对新古典主流经济学的“ 科学 ”基础进行批判，然后通过对主流经济学危机的讨论；概述新 政治 ...</w:t>
      </w:r>
    </w:p>
    <w:p>
      <w:pPr>
        <w:ind w:left="0" w:right="0" w:firstLine="560"/>
        <w:spacing w:before="450" w:after="450" w:line="312" w:lineRule="auto"/>
      </w:pPr>
      <w:r>
        <w:rPr>
          <w:rFonts w:ascii="宋体" w:hAnsi="宋体" w:eastAsia="宋体" w:cs="宋体"/>
          <w:color w:val="000"/>
          <w:sz w:val="28"/>
          <w:szCs w:val="28"/>
        </w:rPr>
        <w:t xml:space="preserve">“ 经济 学改革国际运动”的兴起标志着“ 现代 经济学”的 发展 遇到了自大萧条以来最严重的危机[①], 本文对此提供了一种激进的解决方案。论文首先对新古典主流经济学的“ 科学 ”基础进行批判，然后通过对主流经济学危机的讨论；概述新 政治 经济学范式革命的基本特征。但是，新政治经济学的发展勿需重新开始，自20世纪60年代以来，作为政治经济学的复兴，异端经济学的新发展为其提供了丰富的思想资源，在很大程度上，新政治经济学的发展可以通过对异端经济学的创造性综合(含有创造性转化之含义)而实现，因此本文第三部分对此进行了探讨。</w:t>
      </w:r>
    </w:p>
    <w:p>
      <w:pPr>
        <w:ind w:left="0" w:right="0" w:firstLine="560"/>
        <w:spacing w:before="450" w:after="450" w:line="312" w:lineRule="auto"/>
      </w:pPr>
      <w:r>
        <w:rPr>
          <w:rFonts w:ascii="宋体" w:hAnsi="宋体" w:eastAsia="宋体" w:cs="宋体"/>
          <w:color w:val="000"/>
          <w:sz w:val="28"/>
          <w:szCs w:val="28"/>
        </w:rPr>
        <w:t xml:space="preserve">一、新古典主流经济学批判</w:t>
      </w:r>
    </w:p>
    <w:p>
      <w:pPr>
        <w:ind w:left="0" w:right="0" w:firstLine="560"/>
        <w:spacing w:before="450" w:after="450" w:line="312" w:lineRule="auto"/>
      </w:pPr>
      <w:r>
        <w:rPr>
          <w:rFonts w:ascii="宋体" w:hAnsi="宋体" w:eastAsia="宋体" w:cs="宋体"/>
          <w:color w:val="000"/>
          <w:sz w:val="28"/>
          <w:szCs w:val="28"/>
        </w:rPr>
        <w:t xml:space="preserve">笔者认为，新古典主流经济学的“科学”地位主要是靠两大支柱支撑的：经济学的数学形式化和实证主义科学 哲学 。数学形式化已成为主流经济学的本质特征，正如英国经济学家霍奇逊写到的，“在20世纪20年代以前，在公开发表的论文中，用词语表述的占到90%以上。但到20世纪90年代，在主要的和 历史 悠久的杂志上90%的文章是由代数、微积分和计量经济学所支配”[②]。自20世纪80年代以来，经济学的数学形式化就遭到了越来越多的批评，但是，这些批评无法阻挡它的蔓延之势，近年它又成为 中国 经济学西方主流化的重要特征之一。例如，留美经济学博士、北京大学中国经济 研究 中心的龚六堂的看法就很具有代表性。在接受中国经济学 教育 科研网记者的在线访谈时，龚六堂指出，“在广泛的引入数学工具以后，经济学已经可以称的上一种科学了。”[③] 无疑，对于经济学中数学形式化不遗余力的推行者来说，是否使用数学已成为判断一个学者的研究是否是科学的标志，他们甚至把数学看作是真理的化身。然而，正如美国数学家和数学史家克莱因指出的，数学作为人类的一种知识体系，它显示了人类理性的能力、根源和力量，但正如其它知识体系一样，数学本身同样显示了人类理性的局限性。如果稍微浏览一下数学史，我们就会知道，正如经济学一样，数学的发展过程同样充满着矛盾、混乱和冲突。因此，如果把数学作为判断科学与否的标准，实际上就是把我们人类的智力创造物作为真理的化身了，这确实是在哈耶克意义上的“致命的自负”。</w:t>
      </w:r>
    </w:p>
    <w:p>
      <w:pPr>
        <w:ind w:left="0" w:right="0" w:firstLine="560"/>
        <w:spacing w:before="450" w:after="450" w:line="312" w:lineRule="auto"/>
      </w:pPr>
      <w:r>
        <w:rPr>
          <w:rFonts w:ascii="宋体" w:hAnsi="宋体" w:eastAsia="宋体" w:cs="宋体"/>
          <w:color w:val="000"/>
          <w:sz w:val="28"/>
          <w:szCs w:val="28"/>
        </w:rPr>
        <w:t xml:space="preserve">笔者并不反对数学在经济学中的 应用 ，但反对它在经济学中的泛滥。经济学是一门 社会 科学，然而奇怪的是，学经济学的学生无须具备历史学、社会学和政治学等方面的必备知识，但却必须“精通”数学。数学在经济学中果真是这么重要吗？非也。乔治斯库—罗根金指出[④]，对经济学来说，数学模型在以下两种情况下是有用的。第一，在工程经济学中，已知价格和生产系数，试图求出最优解，这处理的是约束条件，最好的例子是线性规划。第二，对于推理来说只作为一种明喻，但我们首先必须具有某种推理，如果忽视了这个条件，我们就陷入了无用的数学游戏。经济 理论 的创新总是先于词语或数学的表述，乔治斯库—罗根写到，正如许多著名的数学家认为的，数学的任一分支只是一种逻辑上的同义反复，在数学发展史上精确的新奇是一种“新”定理的发现行为，而不是定理本身。因此，数学在经济学中的应用并不标明理论的创新。霍奇逊也指出，数学是有用的，它的发现是富有创造力的，但它的应用只涉及到逻辑的演绎推理，而不是理论上真正的新奇。在例外的情况下，数学能鼓励理论的变化，如博弈论的发展最终导致了西蒙“有限理性”概念的更广泛的接受，然而，这个概念的创造本身不是来自数学。在大多数情况下，把注意力集中在推理的形式化链条上，而不是隐含的范畴和基本假定上，鼓励了理论上的保守主义而不是创新[⑤]。总而言之，数学在经济学中只能作为一种辅助的论证工具起到作用，经济理论的创新丝毫不会来自数学的应用，经济学特别是理论经济学能否成为一门科学根本与数学无关。</w:t>
      </w:r>
    </w:p>
    <w:p>
      <w:pPr>
        <w:ind w:left="0" w:right="0" w:firstLine="560"/>
        <w:spacing w:before="450" w:after="450" w:line="312" w:lineRule="auto"/>
      </w:pPr>
      <w:r>
        <w:rPr>
          <w:rFonts w:ascii="宋体" w:hAnsi="宋体" w:eastAsia="宋体" w:cs="宋体"/>
          <w:color w:val="000"/>
          <w:sz w:val="28"/>
          <w:szCs w:val="28"/>
        </w:rPr>
        <w:t xml:space="preserve">但是，在过去20多年间发展起来的批判实在论（critical realism）社会科学哲学对上述科学观念提出了强有力的挑战。批判实在论科学哲学最著名的代表人物之一巴斯卡(bhaskar)观察到， 自然 科学中所得出的事件规则性事实上大部分只发生于实验状态之中，它们不是自发产生的，而是人类干预的结果。事件的规则性只可表述为“在条件e之下，事件x恒常地导致事件y”，而非“事件x恒常地导致事件y”，条件e即代表人类对自然的干预，即实验状态的建立。根据这种观察，自然科学对任何实际事件规则性的认识都离不开人类对自然的干预；巴哈斯卡还观察到，在受控实验活动中所得出的结论或“ 规律 ”常常可以成功地应用于实验状态之外，这就是巴斯卡有关自然科学实验的两个著名 问题 。</w:t>
      </w:r>
    </w:p>
    <w:p>
      <w:pPr>
        <w:ind w:left="0" w:right="0" w:firstLine="560"/>
        <w:spacing w:before="450" w:after="450" w:line="312" w:lineRule="auto"/>
      </w:pPr>
      <w:r>
        <w:rPr>
          <w:rFonts w:ascii="宋体" w:hAnsi="宋体" w:eastAsia="宋体" w:cs="宋体"/>
          <w:color w:val="000"/>
          <w:sz w:val="28"/>
          <w:szCs w:val="28"/>
        </w:rPr>
        <w:t xml:space="preserve">为了解释这两个问题，巴斯卡指出，我们必须放弃自然是由事件的规则性构成的这种实证主义自然观，而把世界看作是有结构的，是不及物的，是不可化约为我们所经历的事件的。批判实在论认为，世界不只是由事件和事物状态以及我们对这些实际的经验或感觉所构成的，而且也是由更深层的结构、机制和趋势所构成，虽然我们对其无法进行直接观察，但它却管束着我们经历到的或未经历的实际事件。与实证主义的经验实在论不同，批判实在论认为，实在本身远不是无景深的，而是复杂的、有差别和多层级的。三个重叠但本体上不同的实在领域被区分，即经验的(经历与印象)，实际的(除经验之外包括事件和事物状态)和深层的(除实际事件和经验外包括结构、机制、力量和趋势)。按照批判实在论的看法，实在的这三个领域不仅在本体上是不同的，而且关键性的是它们相互之间经常是“不同时”发生的。因此，当经验与事件不一致并允许对给定事件的经验进行对比和修正时，事件也典型地与管束它们的结构或机制是“不同时的”。例如，就结构与事件的不一致来说，秋叶与重力规律的作用是“不同时的”，因为秋叶是否落地也受制于热力学的、空气动力学的和其他的原因或趋势。</w:t>
      </w:r>
    </w:p>
    <w:p>
      <w:pPr>
        <w:ind w:left="0" w:right="0" w:firstLine="560"/>
        <w:spacing w:before="450" w:after="450" w:line="312" w:lineRule="auto"/>
      </w:pPr>
      <w:r>
        <w:rPr>
          <w:rFonts w:ascii="宋体" w:hAnsi="宋体" w:eastAsia="宋体" w:cs="宋体"/>
          <w:color w:val="000"/>
          <w:sz w:val="28"/>
          <w:szCs w:val="28"/>
        </w:rPr>
        <w:t xml:space="preserve">现在，我们就能对巴斯卡有关自然科学实验的两个著名问题做出解释了。按照批判实在论，秋叶落地的实际状态和管束秋叶落地的机制或结构是不一致的，秋叶落地是由重力的、热力学的、空气动力学的、惯性的以及其他各种相互抵消、相互强化的多重机制所决定的。实验活动的作用就在于为了分离出某种机制，通过干预，把所有其它潜在地处于抵消或强化状态的机制隔离开来，建立起一对一的因果关系。因此，实验的作用就是要创造一种特定条件，在这种条件下，非经验性的规律、趋势或某种机制作用的方式在经验上可以被确认。当然，规律本身总是在发挥着作用，只要存在着能引起反应的条件，机制就能被激活，不论是否别的在发生，例如，即使树叶在我手中，它也服从重力趋势。因此，受控实验中所发现的规律为什么常常能成功地应用于实验之外，原因就是人们通过对自然界的作用，激活了规律发挥作用的相关环境。在这些地方，事件的规则性根本不是显而易见的。事件规则性只是在实验控制的条件下才能自发产生，而自然科学通过封闭隔离从而获得事件规则性的实验是科学的一种特殊情况，这种特殊的情况是数学形式化建模得以成功应用的条件。</w:t>
      </w:r>
    </w:p>
    <w:p>
      <w:pPr>
        <w:ind w:left="0" w:right="0" w:firstLine="560"/>
        <w:spacing w:before="450" w:after="450" w:line="312" w:lineRule="auto"/>
      </w:pPr>
      <w:r>
        <w:rPr>
          <w:rFonts w:ascii="宋体" w:hAnsi="宋体" w:eastAsia="宋体" w:cs="宋体"/>
          <w:color w:val="000"/>
          <w:sz w:val="28"/>
          <w:szCs w:val="28"/>
        </w:rPr>
        <w:t xml:space="preserve">但是，在人类社会领域中，通过实验控制获得这种事件规则性的可能性是相当有限的，甚至是不可能的。因此，根据批判实在论科学哲学，在经济学和社学科学领域中，数学形式化建模得以应用的条件并不存在，经济学的数学形式化是它盲目地崇拜自然科学成就的产物。批判实在论经济学方法论代表人物劳森指出，新古典主流经济学把适用于物理化学实验的条件搬到经济学的社会领域是错误的，这种错误的根源就来自于实证主义科学哲学把自然科学实践误解为对事件间普遍关联规则性的研究。为了形式化建模的需要，新古典主流经济学在其理论结构中做了两种封闭：内在封闭——一种原因总是产生同样的结果，它意味着现象的结构是稳定的和不变的；外在封闭——一种结果总是有同样的原因，它意味着从给定的约束和行动，只有一种结果是可能的。把这两种封闭条件结合起来，主流经济学就采用了一种封闭系统的思考，通过演绎在事件层次上对经济现象进行决定论的解释，劳森斥之为演绎主义。为了充分达到使用数学的“科学性”，主流经济学做出了如下简化的假定：技术和制度约束（实际上是不变）、均衡结构、给定偏好、代表性行为者、理性最大化，等等，这些与现实毫不相干的假定就是上述封闭性思考的体现，而这种封闭性思考，真正地把经济学限定于了实证主义科学哲学的鼻祖孔德为“科学”所划定的界限之内了。孔德写道，在知识的每一分支上，若要使我们的研究具有实证性，那就必须把它们的范围加以限制，只去研究实际存在的事实，而不必努力去了解这些事实的初始和最终结果。然而，在这种情况下，我们又如何能理解和解释经济生活历史性变化的过程呢？</w:t>
      </w:r>
    </w:p>
    <w:p>
      <w:pPr>
        <w:ind w:left="0" w:right="0" w:firstLine="560"/>
        <w:spacing w:before="450" w:after="450" w:line="312" w:lineRule="auto"/>
      </w:pPr>
      <w:r>
        <w:rPr>
          <w:rFonts w:ascii="宋体" w:hAnsi="宋体" w:eastAsia="宋体" w:cs="宋体"/>
          <w:color w:val="000"/>
          <w:sz w:val="28"/>
          <w:szCs w:val="28"/>
        </w:rPr>
        <w:t xml:space="preserve">二、范式革命与新政治经济学的诞生</w:t>
      </w:r>
    </w:p>
    <w:p>
      <w:pPr>
        <w:ind w:left="0" w:right="0" w:firstLine="560"/>
        <w:spacing w:before="450" w:after="450" w:line="312" w:lineRule="auto"/>
      </w:pPr>
      <w:r>
        <w:rPr>
          <w:rFonts w:ascii="宋体" w:hAnsi="宋体" w:eastAsia="宋体" w:cs="宋体"/>
          <w:color w:val="000"/>
          <w:sz w:val="28"/>
          <w:szCs w:val="28"/>
        </w:rPr>
        <w:t xml:space="preserve">对于许多主流经济学家来说，新古典经济学就是经济学，在他们看来，所谓现代经济学就是新古典经济学，异端经济学各流派是视而不见的，这种话语实际上就是新古典经济学霸权地位的写照。正如剑桥大学27名博士生的公开信写道的，这种单一的对经济现象的解释分析方法垄断了经济学，它已经在这个专业中创造了一种社会惯例，那就是：只有符合那种主流方法的经济学的知识成果才是好的研究成果。因此，其他模式下的经济学知识都很容易被当作过于贫乏或者根本不属于经济学而不予考虑。然而，正当主流经济学拒斥异端经济学的各种批评，陶醉在他们自己所营造的“象牙塔”之中时，他们吃惊地发现，法国学生使用了精神病学上的一个术语autism[⑦]对其做出了诊断：自我封闭，缺乏与其他学科的交流和社会交互作用，专注于数学幻想，由于有限的和专门化的词汇所导致的语言损伤，过度迷恋某种东西（假定和模型），这种智力缺陷已使它没有能力解决真实世界中许多重要的问题。正如陈平教授在谈到美国经济学会2025年年会的议程安排时所指出的，（主流）经济学家们 目前 正面临着类似于19世纪末权威物理学家所受到的历史的嘲弄，下面我们就简要说明为什么主流经济学面临着严重的危机，并概述新的经济学革命所具有的基本特征。</w:t>
      </w:r>
    </w:p>
    <w:p>
      <w:pPr>
        <w:ind w:left="0" w:right="0" w:firstLine="560"/>
        <w:spacing w:before="450" w:after="450" w:line="312" w:lineRule="auto"/>
      </w:pPr>
      <w:r>
        <w:rPr>
          <w:rFonts w:ascii="宋体" w:hAnsi="宋体" w:eastAsia="宋体" w:cs="宋体"/>
          <w:color w:val="000"/>
          <w:sz w:val="28"/>
          <w:szCs w:val="28"/>
        </w:rPr>
        <w:t xml:space="preserve">首先，在新古典经济学的“科学”体系中，经济学家们不再对人类创造力所导致的新奇事物充满惊异，换言之，他们已丧失了对复杂经济过程之奥秘充满好奇心的科学精神，这充分体现在它为经济科学所划定的范围上。钱颖一写道，在当今世界上被认可为主流的经济学……是唯一被经济学家们广泛接受的经济学范式。根据这种范式，“经济学家们看问题的出发点通常基于三项基本假定：经济人的偏好、生产技术和制度约束、可供使用的资源禀赋……（研究）人们如何在给定的机制下相互作用，达到某种均衡状态”[⑧]。说的更明白一些，新古典经济学就是在给定偏好、技术和制度不变以及既定资源条件下，研究经济行为者如何最优地对强加给他们的假定条件做出反应，这些假定条件的变化被看作是外生的，或者完全不给予解释，或者把它留给其他学科。很明显，经济行为者的创造性活动在这种理论体系中是没有地位的，因为这种创造性活动必定来自新古典经济学假定条件的变化，即新偏好的形成、技术和制度的创新以及新资源的创造，换言之，它关键性地取决于“新奇的创生”。很明显，如果一种经济学理论无法容纳“新奇的创生”，我们就很难说信奉这种理论的经济学家还会对人类创造力所导致的新奇事物充满惊异，这样的“科学”还会有何种科学精神而言？如果丧失了科学精神，这个学科将会是一种什么样的状况呢？正如著名经济思想史家马克•布劳格痛斥的，现代经济学已日益成为一种为自身而所存在的智力游戏。而且，“克莱默和考兰德对美国顶尖大学研究生的一项调查揭示了一种骇人听闻的状况：这些年轻的和未来的经济学家们对经济或者对经济学 文献 没有兴趣。他们精明地感觉到，在经济学这个专业上的成功主要是取决于数理经济学和计量经济学的知识”[⑨]。这实在是对经济学家们智力创造力的一种阉割，它是丧失了科学精神的新古典教研制度必然的结果。</w:t>
      </w:r>
    </w:p>
    <w:p>
      <w:pPr>
        <w:ind w:left="0" w:right="0" w:firstLine="560"/>
        <w:spacing w:before="450" w:after="450" w:line="312" w:lineRule="auto"/>
      </w:pPr>
      <w:r>
        <w:rPr>
          <w:rFonts w:ascii="宋体" w:hAnsi="宋体" w:eastAsia="宋体" w:cs="宋体"/>
          <w:color w:val="000"/>
          <w:sz w:val="28"/>
          <w:szCs w:val="28"/>
        </w:rPr>
        <w:t xml:space="preserve">笔者认为，对任何社会科学学科来说，能否充溢新奇惊异和人文关怀的 时代 精神，是其理论框架具有科学性与否的关键性标准。这也是我们发展一种对新古典主流进行替代的经济学的基本出发点，因此，它必然赞成经济学是一种实在论的科学。与新古典主流封闭系统建模的方法不同，批判实在论科学哲学认为，由于人类具有真正的选择性，社会经济领域在本体论上与自然领域所存在的重大差别就是社会经济结构的存在依赖于人类的能动作用，这种能动作用包括人类的观念与行动。正是因为如此，社会结构只能展现于处于开放系统的人类活动之中。批判实在论科学哲学的社会经济本体论对经济学的实践具有重大意义。首先，在开放系统中，经济学家们所研究的某种现象的环境能够影响这种现象的行为，而且这种现象的形式和结构是可以变化的，因此，替代新古典主流的经济学必定是一种有关经济演化的科学，它是一种在其理论框架中能够使“新奇创生”内生化的经济学，这就是笔者之所以把演化经济学的发展看作是经济学革命策源地的重要原因。其次，在一个开放与结构化的世界上，人类的能动作用依赖于结构与机制，反过来，社会结构的任何方面也依赖于人类的能动性，结构与能动作用互为前提。这是因为，经济社会系统中的“新奇创生”必然是作为异质性个体创造性行为的结果，而观念（或偏好、知识等）的变化是个体创造性行为的有机组成部分，因此，经济学必须对经济行为者有关性别、阶级、种族和伦理等方面的观念和意义(meaning)进行阐释，新的经济学将吸收奥地利学派经济学家有关社会存在的观念依赖这种解释学创见，但又避免了它把观念依赖与观念决定混为一谈的错误，因而它首先在经济学的理论框架中实现了“意义”的内生化。最后，虽然人类的能动作用与社会结构相互构成，但这两者又是相当不同的事物。使这两种相当不同的事物发生接触的正是(内在的)社会经济关系，只有社会经济关系的概念才能说明个人如何因其自身原因采取行动，同时又对社会结构的再生产做出了贡献。因此，根据批判实在论这种社会经济关系的概念，新的经济学既拒绝方法论个人主义，又拒绝方法论集体主义，而赞成一种方法论的有机主义。</w:t>
      </w:r>
    </w:p>
    <w:p>
      <w:pPr>
        <w:ind w:left="0" w:right="0" w:firstLine="560"/>
        <w:spacing w:before="450" w:after="450" w:line="312" w:lineRule="auto"/>
      </w:pPr>
      <w:r>
        <w:rPr>
          <w:rFonts w:ascii="宋体" w:hAnsi="宋体" w:eastAsia="宋体" w:cs="宋体"/>
          <w:color w:val="000"/>
          <w:sz w:val="28"/>
          <w:szCs w:val="28"/>
        </w:rPr>
        <w:t xml:space="preserve">对于一种能使新奇和意义内生化的新型经济学来说，批判实在论科学哲学为其提供了一种不同于实证主义的科学的目的。首先，由于认识到实证主义所谓的事件规律性在经济领域中是极稀少的，因此，经济学的目的不是预测，而是对有关人类实践的识别、理解和解释，即识别、理解和解释这些实践未知的条件、人们的无意识动机、所利用的意会性技能和意外的后果。其次，由此所产生的政策目标主要是通过对管束和便利人类行动的结构性条件有见识的转变而达到人类的解放，即在特定的历史条件下，通过结构转变，为社会各阶层提供更大和更平等的发挥创造潜力的机会。最后，因为社会结构对人们的实践所产生的转变是开放的，而人们实践的转变要依赖于他们对世界所持有的观念和理解。所以，与自然科学相比，经济学一个独一无二的功能就是要通过对人们的观念和理解进行批判性解释，以推动在社会结构与人类能动作用之间所能达致的转变，这是批判实在论这种科学哲学标签中“批判”这个术语所蕴含的意义。因此，根据批判实在论科学哲学，与自然科学家探索大自然奥秘的持久动力一样，新奇惊异也是社会科学的重要特征，但对于作为社会科学的经济学来说，追寻人生的意义同样是经济学作为一门科学内在的要求，而不是一种额外的附加。</w:t>
      </w:r>
    </w:p>
    <w:p>
      <w:pPr>
        <w:ind w:left="0" w:right="0" w:firstLine="560"/>
        <w:spacing w:before="450" w:after="450" w:line="312" w:lineRule="auto"/>
      </w:pPr>
      <w:r>
        <w:rPr>
          <w:rFonts w:ascii="宋体" w:hAnsi="宋体" w:eastAsia="宋体" w:cs="宋体"/>
          <w:color w:val="000"/>
          <w:sz w:val="28"/>
          <w:szCs w:val="28"/>
        </w:rPr>
        <w:t xml:space="preserve">我们应该指出，这种新型经济学的发展根植于自亚当•斯密以来的政治经济学传统，从这个角度来看，“范式革命”的概念并不适合，由于它是一种路径依赖的科学演化过程中的突现现象，因此，“范式转变”可能是一个更恰当的概念，正因为如此，笔者就把这种新型经济学命名为“新政治经济学”，相对于丰富的政治经济学研究传统，这是一种继承与创新的关系。然而，如果它能把新古典经济学从主流的地位中驱除出去，使政治经济学重归经济科学的心脏地带，那么，这无疑是对新古典经济学的一场革命，让我们从经济思想史的角度对此加以说明。</w:t>
      </w:r>
    </w:p>
    <w:p>
      <w:pPr>
        <w:ind w:left="0" w:right="0" w:firstLine="560"/>
        <w:spacing w:before="450" w:after="450" w:line="312" w:lineRule="auto"/>
      </w:pPr>
      <w:r>
        <w:rPr>
          <w:rFonts w:ascii="宋体" w:hAnsi="宋体" w:eastAsia="宋体" w:cs="宋体"/>
          <w:color w:val="000"/>
          <w:sz w:val="28"/>
          <w:szCs w:val="28"/>
        </w:rPr>
        <w:t xml:space="preserve">经济 学 研究 的这两大传统具有根本性的不同。新古典经济学摈弃制度、技术、 政治 、人类心理和文化意识形态等因素，致力于 发展 一种不受这些因素 影响 的和给定资源条件下的最优配置的经济学，他们认为，这是一种更一般的和具有普遍意义的真正的 科学 ，而“政治经济学”这个术语中“政治” 所代表的因素无法反映这种“客观科学”的性质，因此就用“经济学”作为学科的称谓取代了“政治经济学”这个传统的术语。但是，异端经济学各流派从不同的角度反对把经济学的范围限制的如此狭小，总的来说，他们认为，经济科学应该包括更为重要的资源创造（即如何生产出更多的经济剩余）等 问题 ，因此必须认真对待被前者所摈弃的因素。如果按照笔者的这种归纳，“政治经济学”这个术语作为经济科学的代名词要比“经济学”更适合。但是，经济学这两大研究传统的关键性分歧并不在于经济科学的范围，而是对经济科学的性质存在着对立的认识。在经济思想史中，“经济学”和“政治经济学”实际上就代表了经济 理论 研究的两种不同 方法 。“经济学”坚持理性最大化假说、均衡结构和方法论个人主义，使用一种不受时空限制的和非 历史 的方法；而“政治经济学”则反对“经济学”的上述方法，具备了或隐含地赞成笔者对新政治经济学方法的概括：满意假说、演化结构、方法论有机主义和 社会 历史的方法。因此，在经济思想史的研究中，所谓古典经济学解体后的政治经济学，主要是指异端经济学各流派，通常并不包括新古典经济学。</w:t>
      </w:r>
    </w:p>
    <w:p>
      <w:pPr>
        <w:ind w:left="0" w:right="0" w:firstLine="560"/>
        <w:spacing w:before="450" w:after="450" w:line="312" w:lineRule="auto"/>
      </w:pPr>
      <w:r>
        <w:rPr>
          <w:rFonts w:ascii="宋体" w:hAnsi="宋体" w:eastAsia="宋体" w:cs="宋体"/>
          <w:color w:val="000"/>
          <w:sz w:val="28"/>
          <w:szCs w:val="28"/>
        </w:rPr>
        <w:t xml:space="preserve">批判实在论的出现为异端经济学的创造性综合展示了广阔的前景，但是，后者没有必要教条地遵循批判实在论已有的结论，这是因为批判实在论仍处于发展之中，异端经济学的创造性综合可以为之做出贡献。首先，批判实在论可以被恰当地看作是异端经济学各流派相互交流和对话的媒介，他们对批判实在论提出了不同的见解，如霍奇逊和女性主义经济学代表人物纳尔询（nelson, j.a.）等提出了与劳森不同的看法，更有甚者把批判实在论看作是与他们一样的一种异端流派，因此，创造性综合必须考虑各流派所提出的不同见解。其次，在政治经济学中，存在着批判实在论的两种观点，一种主要是受到巴斯卡著作的影响，另一种特别受到劳森的影响。巴斯卡与成熟马克思对政治经济学的批判具有特殊的关系，关注经典马克思主义的主题；而劳森在经济学中具有更宽广的异端态度，明确地集中在当代经济问题上。尼尔森(nielsen, p.)[20]认为，在这两种观点的核心方面，批判性的建设和发展的和谐既是可能的又是需要的。最后，同样也是尼尔森指出的，目前的批判实在论集中在抽象的哲学推理上，忽视具体的政治经济学理论的发展，很容易造成这样一种倾向：粗糙的和超越历史的政治经济学阻碍了经验的和理论的政治经济学的发展，因此，他希望大家像马克思一样处理好抽象和具体的关系。异端经济学的创造性综合可以避免尼尔森所提出的这个问题，特别是这种综合要以当代经济问题为核心，利用异端经济学提供的理论素材，创造性发展新政治经济学，同时它也丰富和发展了批判实在论科学哲学。</w:t>
      </w:r>
    </w:p>
    <w:p>
      <w:pPr>
        <w:ind w:left="0" w:right="0" w:firstLine="560"/>
        <w:spacing w:before="450" w:after="450" w:line="312" w:lineRule="auto"/>
      </w:pPr>
      <w:r>
        <w:rPr>
          <w:rFonts w:ascii="宋体" w:hAnsi="宋体" w:eastAsia="宋体" w:cs="宋体"/>
          <w:color w:val="000"/>
          <w:sz w:val="28"/>
          <w:szCs w:val="28"/>
        </w:rPr>
        <w:t xml:space="preserve">由于篇幅所限，有关异端经济学的创造性综合就无法继续讨论了。最后，笔者需要指出的是，新政治经济学在我国的发展无法单独通过异端经济学的创造性综合而实现，这是因为，异端经济学的发展主要是以西方发达国家的经验和文化为背景的，对于我国在21世纪的经济复兴来说，它存在着许多不适应的地方，这就需要我们紧紧抓住我国重大的实际经济问题，并通过中国文化的创造性转化，对新政治经济学的发展做出许多独特和原创性的贡献。</w:t>
      </w:r>
    </w:p>
    <w:p>
      <w:pPr>
        <w:ind w:left="0" w:right="0" w:firstLine="560"/>
        <w:spacing w:before="450" w:after="450" w:line="312" w:lineRule="auto"/>
      </w:pPr>
      <w:r>
        <w:rPr>
          <w:rFonts w:ascii="宋体" w:hAnsi="宋体" w:eastAsia="宋体" w:cs="宋体"/>
          <w:color w:val="000"/>
          <w:sz w:val="28"/>
          <w:szCs w:val="28"/>
        </w:rPr>
        <w:t xml:space="preserve">[①] 贾根良：《中国经济学发展的西方主流化遭遇重大质疑》，南开经济研究，2025年第2期。论文发表后，post-autistic economic movement网站（.cn）建立链接。</w:t>
      </w:r>
    </w:p>
    <w:p>
      <w:pPr>
        <w:ind w:left="0" w:right="0" w:firstLine="560"/>
        <w:spacing w:before="450" w:after="450" w:line="312" w:lineRule="auto"/>
      </w:pPr>
      <w:r>
        <w:rPr>
          <w:rFonts w:ascii="宋体" w:hAnsi="宋体" w:eastAsia="宋体" w:cs="宋体"/>
          <w:color w:val="000"/>
          <w:sz w:val="28"/>
          <w:szCs w:val="28"/>
        </w:rPr>
        <w:t xml:space="preserve">[⑤] hodgson, g. m., economics and evolution, polity press, 1993, p.16.</w:t>
      </w:r>
    </w:p>
    <w:p>
      <w:pPr>
        <w:ind w:left="0" w:right="0" w:firstLine="560"/>
        <w:spacing w:before="450" w:after="450" w:line="312" w:lineRule="auto"/>
      </w:pPr>
      <w:r>
        <w:rPr>
          <w:rFonts w:ascii="宋体" w:hAnsi="宋体" w:eastAsia="宋体" w:cs="宋体"/>
          <w:color w:val="000"/>
          <w:sz w:val="28"/>
          <w:szCs w:val="28"/>
        </w:rPr>
        <w:t xml:space="preserve">[⑥] 转引自laics, 2025, routledge, p.129.</w:t>
      </w:r>
    </w:p>
    <w:p>
      <w:pPr>
        <w:ind w:left="0" w:right="0" w:firstLine="560"/>
        <w:spacing w:before="450" w:after="450" w:line="312" w:lineRule="auto"/>
      </w:pPr>
      <w:r>
        <w:rPr>
          <w:rFonts w:ascii="宋体" w:hAnsi="宋体" w:eastAsia="宋体" w:cs="宋体"/>
          <w:color w:val="000"/>
          <w:sz w:val="28"/>
          <w:szCs w:val="28"/>
        </w:rPr>
        <w:t xml:space="preserve">[⑦] 在 英文 辞典中，autism是指儿童的一种精神病学上的失调，其特征是在交流和社会交互作用方面显著的缺陷：耽于幻想、失语和诸如重复行为和过度迷恋某种东西的反常行为。</w:t>
      </w:r>
    </w:p>
    <w:p>
      <w:pPr>
        <w:ind w:left="0" w:right="0" w:firstLine="560"/>
        <w:spacing w:before="450" w:after="450" w:line="312" w:lineRule="auto"/>
      </w:pPr>
      <w:r>
        <w:rPr>
          <w:rFonts w:ascii="宋体" w:hAnsi="宋体" w:eastAsia="宋体" w:cs="宋体"/>
          <w:color w:val="000"/>
          <w:sz w:val="28"/>
          <w:szCs w:val="28"/>
        </w:rPr>
        <w:t xml:space="preserve">[⑧] 钱颖一:《理解 现代 经济学》, 经济社会体制比较，2025年第2期，第2页。</w:t>
      </w:r>
    </w:p>
    <w:p>
      <w:pPr>
        <w:ind w:left="0" w:right="0" w:firstLine="560"/>
        <w:spacing w:before="450" w:after="450" w:line="312" w:lineRule="auto"/>
      </w:pPr>
      <w:r>
        <w:rPr>
          <w:rFonts w:ascii="宋体" w:hAnsi="宋体" w:eastAsia="宋体" w:cs="宋体"/>
          <w:color w:val="000"/>
          <w:sz w:val="28"/>
          <w:szCs w:val="28"/>
        </w:rPr>
        <w:t xml:space="preserve">[⑨] 马克•布劳格：《现代经济学已露游戏人生之病象》，经济学消息报，2025年6月20日，no.546.</w:t>
      </w:r>
    </w:p>
    <w:p>
      <w:pPr>
        <w:ind w:left="0" w:right="0" w:firstLine="560"/>
        <w:spacing w:before="450" w:after="450" w:line="312" w:lineRule="auto"/>
      </w:pPr>
      <w:r>
        <w:rPr>
          <w:rFonts w:ascii="宋体" w:hAnsi="宋体" w:eastAsia="宋体" w:cs="宋体"/>
          <w:color w:val="000"/>
          <w:sz w:val="28"/>
          <w:szCs w:val="28"/>
        </w:rPr>
        <w:t xml:space="preserve">[⑩] 转引自罗卫东：《经济学与道德——对经济学某些倾向的反思》，浙江学刊，2025年第5期。</w:t>
      </w:r>
    </w:p>
    <w:p>
      <w:pPr>
        <w:ind w:left="0" w:right="0" w:firstLine="560"/>
        <w:spacing w:before="450" w:after="450" w:line="312" w:lineRule="auto"/>
      </w:pPr>
      <w:r>
        <w:rPr>
          <w:rFonts w:ascii="宋体" w:hAnsi="宋体" w:eastAsia="宋体" w:cs="宋体"/>
          <w:color w:val="000"/>
          <w:sz w:val="28"/>
          <w:szCs w:val="28"/>
        </w:rPr>
        <w:t xml:space="preserve">[14] 方福前：《西方新政治经济学述评》，教学与研究，1999年第4期。</w:t>
      </w:r>
    </w:p>
    <w:p>
      <w:pPr>
        <w:ind w:left="0" w:right="0" w:firstLine="560"/>
        <w:spacing w:before="450" w:after="450" w:line="312" w:lineRule="auto"/>
      </w:pPr>
      <w:r>
        <w:rPr>
          <w:rFonts w:ascii="宋体" w:hAnsi="宋体" w:eastAsia="宋体" w:cs="宋体"/>
          <w:color w:val="000"/>
          <w:sz w:val="28"/>
          <w:szCs w:val="28"/>
        </w:rPr>
        <w:t xml:space="preserve">[19] fleet in economics: development and debate, routledge, 1999.</w:t>
      </w:r>
    </w:p>
    <w:p>
      <w:pPr>
        <w:ind w:left="0" w:right="0" w:firstLine="560"/>
        <w:spacing w:before="450" w:after="450" w:line="312" w:lineRule="auto"/>
      </w:pPr>
      <w:r>
        <w:rPr>
          <w:rFonts w:ascii="宋体" w:hAnsi="宋体" w:eastAsia="宋体" w:cs="宋体"/>
          <w:color w:val="000"/>
          <w:sz w:val="28"/>
          <w:szCs w:val="28"/>
        </w:rPr>
        <w:t xml:space="preserve">[20] nielsen, p., reflections on critical realism in political economy, cambridge of economics, 2025,26, pp.727-738.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2025-06-21T17:07:20+08:00</dcterms:created>
  <dcterms:modified xsi:type="dcterms:W3CDTF">2025-06-21T17:07:20+08:00</dcterms:modified>
</cp:coreProperties>
</file>

<file path=docProps/custom.xml><?xml version="1.0" encoding="utf-8"?>
<Properties xmlns="http://schemas.openxmlformats.org/officeDocument/2006/custom-properties" xmlns:vt="http://schemas.openxmlformats.org/officeDocument/2006/docPropsVTypes"/>
</file>