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最优财政政策与货币政策研究动态</w:t>
      </w:r>
      <w:bookmarkEnd w:id="1"/>
    </w:p>
    <w:p>
      <w:pPr>
        <w:jc w:val="center"/>
        <w:spacing w:before="0" w:after="450"/>
      </w:pPr>
      <w:r>
        <w:rPr>
          <w:rFonts w:ascii="Arial" w:hAnsi="Arial" w:eastAsia="Arial" w:cs="Arial"/>
          <w:color w:val="999999"/>
          <w:sz w:val="20"/>
          <w:szCs w:val="20"/>
        </w:rPr>
        <w:t xml:space="preserve">来源：网络  作者：心上花开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 对货币政策的分析是目前国内研究的热点之一。但现实中，货币政策总是和财政政策交织在一起，二者相互影响、相互作用、共同调节整个经济的发展。长期以来，西方经济学界一直重视财政政策和货币政策相互作用及其最优搭配问题的研究。早在宏观经济学诞生不久...</w:t>
      </w:r>
    </w:p>
    <w:p>
      <w:pPr>
        <w:ind w:left="0" w:right="0" w:firstLine="560"/>
        <w:spacing w:before="450" w:after="450" w:line="312" w:lineRule="auto"/>
      </w:pPr>
      <w:r>
        <w:rPr>
          <w:rFonts w:ascii="宋体" w:hAnsi="宋体" w:eastAsia="宋体" w:cs="宋体"/>
          <w:color w:val="000"/>
          <w:sz w:val="28"/>
          <w:szCs w:val="28"/>
        </w:rPr>
        <w:t xml:space="preserve">\" 对货币政策的分析是目前国内研究的热点之一。但现实中，货币政策总是和财政政策交织在一起，二者相互影响、相互作用、共同调节整个经济的发展。长期以来，西方经济学界一直重视财政政策和货币政策相互作用及其最优搭配问题的研究。早在宏观经济学诞生不久，就有人利用凯恩斯经济理论，在IS-LM模型及其扩展模型中分析财政政策和货币政策的搭配问题。在凯恩斯主义经济理论衰落之后，卢卡斯等（Lucas，et al.1983）利用公共财政理论、阿莱西纳等（Alesina，et al.1987）利用博弈理论分别讨论了财政政策和货币政策的最优组合问题。</w:t>
      </w:r>
    </w:p>
    <w:p>
      <w:pPr>
        <w:ind w:left="0" w:right="0" w:firstLine="560"/>
        <w:spacing w:before="450" w:after="450" w:line="312" w:lineRule="auto"/>
      </w:pPr>
      <w:r>
        <w:rPr>
          <w:rFonts w:ascii="宋体" w:hAnsi="宋体" w:eastAsia="宋体" w:cs="宋体"/>
          <w:color w:val="000"/>
          <w:sz w:val="28"/>
          <w:szCs w:val="28"/>
        </w:rPr>
        <w:t xml:space="preserve">一、基于公共财政理论的分析</w:t>
      </w:r>
    </w:p>
    <w:p>
      <w:pPr>
        <w:ind w:left="0" w:right="0" w:firstLine="560"/>
        <w:spacing w:before="450" w:after="450" w:line="312" w:lineRule="auto"/>
      </w:pPr>
      <w:r>
        <w:rPr>
          <w:rFonts w:ascii="宋体" w:hAnsi="宋体" w:eastAsia="宋体" w:cs="宋体"/>
          <w:color w:val="000"/>
          <w:sz w:val="28"/>
          <w:szCs w:val="28"/>
        </w:rPr>
        <w:t xml:space="preserve">这种分析方法的基本思路是，首先，假设政府集财政政策职能和货币政策职能于一身，政府的支出为外生性给定，政府通过税收、发行债券和货币获得收入。这样政府的财政政策就简化为税率和债券发行量的选择，货币政策就简化为货币发行量的选择。</w:t>
      </w:r>
    </w:p>
    <w:p>
      <w:pPr>
        <w:ind w:left="0" w:right="0" w:firstLine="560"/>
        <w:spacing w:before="450" w:after="450" w:line="312" w:lineRule="auto"/>
      </w:pPr>
      <w:r>
        <w:rPr>
          <w:rFonts w:ascii="宋体" w:hAnsi="宋体" w:eastAsia="宋体" w:cs="宋体"/>
          <w:color w:val="000"/>
          <w:sz w:val="28"/>
          <w:szCs w:val="28"/>
        </w:rPr>
        <w:t xml:space="preserve">然后，通过构造拉姆齐问题（Ramsey problem），利用拉姆齐均衡（Ramsey eqtlilibrium）来刻画最优税率、最优债券发行量和最优货币发行量的特征。最后，分析这些最优政策下的名义利率是否符合弗里德曼规则。这种方法的本质是利用“通货膨胀税”，把最优的货币发行量问题转化为一个最优税率问题。这一方面的研究主要包括两个方面：一是弹性价格且市场完全竞争条件下的分析，二是市场不完全竞争条件下的分析。</w:t>
      </w:r>
    </w:p>
    <w:p>
      <w:pPr>
        <w:ind w:left="0" w:right="0" w:firstLine="560"/>
        <w:spacing w:before="450" w:after="450" w:line="312" w:lineRule="auto"/>
      </w:pPr>
      <w:r>
        <w:rPr>
          <w:rFonts w:ascii="宋体" w:hAnsi="宋体" w:eastAsia="宋体" w:cs="宋体"/>
          <w:color w:val="000"/>
          <w:sz w:val="28"/>
          <w:szCs w:val="28"/>
        </w:rPr>
        <w:t xml:space="preserve">2.不完全竞争市场下的最优政策分析。Schmitt -Grohe，et al.（2004a）首先讨论了弹性价格但市场为不完全竞争的最优政策问题。他们认为，名义利率相当于对垄断利润间接征税。如果政府能够把垄断利润全部征收，那么弗里德曼规则是最优的。但现实中政府无法做到这一点，因此名义利率为正，并随经济情况的变化而变化。垄断的程度越高，名义利率越大。劳动收入的税率基本不变。通货膨胀的波动较大，但时间序列特征上自相关关系很弱。</w:t>
      </w:r>
    </w:p>
    <w:p>
      <w:pPr>
        <w:ind w:left="0" w:right="0" w:firstLine="560"/>
        <w:spacing w:before="450" w:after="450" w:line="312" w:lineRule="auto"/>
      </w:pPr>
      <w:r>
        <w:rPr>
          <w:rFonts w:ascii="宋体" w:hAnsi="宋体" w:eastAsia="宋体" w:cs="宋体"/>
          <w:color w:val="000"/>
          <w:sz w:val="28"/>
          <w:szCs w:val="28"/>
        </w:rPr>
        <w:t xml:space="preserve">Siu（2025）在现金商品-信贷商品的货币经济模型中引入不完全竞争和价格粘性分析了最优政策问题。他认为，由于存在价格粘性，通货膨胀的变化会引起资源配置的扭曲，带来经济效率的损失成本。</w:t>
      </w:r>
    </w:p>
    <w:p>
      <w:pPr>
        <w:ind w:left="0" w:right="0" w:firstLine="560"/>
        <w:spacing w:before="450" w:after="450" w:line="312" w:lineRule="auto"/>
      </w:pPr>
      <w:r>
        <w:rPr>
          <w:rFonts w:ascii="宋体" w:hAnsi="宋体" w:eastAsia="宋体" w:cs="宋体"/>
          <w:color w:val="000"/>
          <w:sz w:val="28"/>
          <w:szCs w:val="28"/>
        </w:rPr>
        <w:t xml:space="preserve">Schmitt—Grohe，et al.（2004b）在一个货币能降低交易成本的货币经济模型中，同样讨论了粘性价格和不完全竞争市场对最优政策的影响。虽然他们的模型与Siu的模型不同，但结论基本上相同。即，弗里德曼规则不再成立，通货膨胀的波动很小，政府债务和利率具有随机游走的动态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二、基于博弈理论的分析</w:t>
      </w:r>
    </w:p>
    <w:p>
      <w:pPr>
        <w:ind w:left="0" w:right="0" w:firstLine="560"/>
        <w:spacing w:before="450" w:after="450" w:line="312" w:lineRule="auto"/>
      </w:pPr>
      <w:r>
        <w:rPr>
          <w:rFonts w:ascii="宋体" w:hAnsi="宋体" w:eastAsia="宋体" w:cs="宋体"/>
          <w:color w:val="000"/>
          <w:sz w:val="28"/>
          <w:szCs w:val="28"/>
        </w:rPr>
        <w:t xml:space="preserve">这种分析方法的思路是，首先假设财政政策和货币政策分别由两个独立的部门执行。虽然财政当局和货币当局的目标都包含产出和价格，但二者的目标差异非常明显。这种差异表现为，一方面，在产出和价格的理想水平上，双方的看法不同；另一方面，在产出和价格的权衡上，双方也有所侧重。通常情况下，保守的货币当局不仅产出和价格的理想水平比财政当局低，而且在产出和价格的权衡方面，货币当局更注重价格。由于财政当局和货币当局的相对独立以及各自目标的差异，其行动选择对经济的影响就有多种可能。首先是双方是协调合作，还是各自行动。如果是各自行动，那么行动的类型是执行规则，还是相机抉择。如果是相机抉择，那么双方是同时行动，还是有先后顺序。如果有先后顺序，那么是财政当局先行，还是货币当局先行。对于这些不同的情况，通过构造适当的博弈模型，就可分析政策的最优性问题。这方面的研究主要包括两个方面：一是单个财政当局和单个货币当局的分析，另一是多个财政当局和单个货币当局的分析。显然，后者不仅要分析财政当局与货币当局的关系，还要分析多个财政当局之间的相互关系。</w:t>
      </w:r>
    </w:p>
    <w:p>
      <w:pPr>
        <w:ind w:left="0" w:right="0" w:firstLine="560"/>
        <w:spacing w:before="450" w:after="450" w:line="312" w:lineRule="auto"/>
      </w:pPr>
      <w:r>
        <w:rPr>
          <w:rFonts w:ascii="宋体" w:hAnsi="宋体" w:eastAsia="宋体" w:cs="宋体"/>
          <w:color w:val="000"/>
          <w:sz w:val="28"/>
          <w:szCs w:val="28"/>
        </w:rPr>
        <w:t xml:space="preserve">（一）单个财政当局与单个货币当局的政策分析</w:t>
      </w:r>
    </w:p>
    <w:p>
      <w:pPr>
        <w:ind w:left="0" w:right="0" w:firstLine="560"/>
        <w:spacing w:before="450" w:after="450" w:line="312" w:lineRule="auto"/>
      </w:pPr>
      <w:r>
        <w:rPr>
          <w:rFonts w:ascii="宋体" w:hAnsi="宋体" w:eastAsia="宋体" w:cs="宋体"/>
          <w:color w:val="000"/>
          <w:sz w:val="28"/>
          <w:szCs w:val="28"/>
        </w:rPr>
        <w:t xml:space="preserve">Alesina，et al.（1987）首先利用博弈理论分别讨论了财政政策和货币政策的最优组合问题。在他们的分析中，货币当局选择通货膨胀、财政当局选择税率，双方在产出、通货膨胀的理想水平上相同，但在通货膨胀和产出的权衡方面存在差异。他们重点讨论了货币当局执行承诺与不执行承诺两种情况下，财政当局与货币当局的纳什均衡特征。Debelle，et al.（1994）则分析了货币当局与财政当局的纳什均衡和斯坦博格均衡。Baneriee（1997）则在博弈论模型的框架下，重点讨论了政策的时间一致性问题。</w:t>
      </w:r>
    </w:p>
    <w:p>
      <w:pPr>
        <w:ind w:left="0" w:right="0" w:firstLine="560"/>
        <w:spacing w:before="450" w:after="450" w:line="312" w:lineRule="auto"/>
      </w:pPr>
      <w:r>
        <w:rPr>
          <w:rFonts w:ascii="宋体" w:hAnsi="宋体" w:eastAsia="宋体" w:cs="宋体"/>
          <w:color w:val="000"/>
          <w:sz w:val="28"/>
          <w:szCs w:val="28"/>
        </w:rPr>
        <w:t xml:space="preserve">（二）多个财政当局与单个货币当局的政策分析</w:t>
      </w:r>
    </w:p>
    <w:p>
      <w:pPr>
        <w:ind w:left="0" w:right="0" w:firstLine="560"/>
        <w:spacing w:before="450" w:after="450" w:line="312" w:lineRule="auto"/>
      </w:pPr>
      <w:r>
        <w:rPr>
          <w:rFonts w:ascii="宋体" w:hAnsi="宋体" w:eastAsia="宋体" w:cs="宋体"/>
          <w:color w:val="000"/>
          <w:sz w:val="28"/>
          <w:szCs w:val="28"/>
        </w:rPr>
        <w:t xml:space="preserve">非合作的财政政策会使产出过低、通货膨胀过高。</w:t>
      </w:r>
    </w:p>
    <w:p>
      <w:pPr>
        <w:ind w:left="0" w:right="0" w:firstLine="560"/>
        <w:spacing w:before="450" w:after="450" w:line="312" w:lineRule="auto"/>
      </w:pPr>
      <w:r>
        <w:rPr>
          <w:rFonts w:ascii="宋体" w:hAnsi="宋体" w:eastAsia="宋体" w:cs="宋体"/>
          <w:color w:val="000"/>
          <w:sz w:val="28"/>
          <w:szCs w:val="28"/>
        </w:rPr>
        <w:t xml:space="preserve">但如果当局各方能够就产出和通货膨胀的理想水平达成一致，那么即使没有财政当局的政策协调以及货币当局的执行承诺，经济也会达到理想水平。他们把这种现象称为政策的共生性。</w:t>
      </w:r>
    </w:p>
    <w:p>
      <w:pPr>
        <w:ind w:left="0" w:right="0" w:firstLine="560"/>
        <w:spacing w:before="450" w:after="450" w:line="312" w:lineRule="auto"/>
      </w:pPr>
      <w:r>
        <w:rPr>
          <w:rFonts w:ascii="宋体" w:hAnsi="宋体" w:eastAsia="宋体" w:cs="宋体"/>
          <w:color w:val="000"/>
          <w:sz w:val="28"/>
          <w:szCs w:val="28"/>
        </w:rPr>
        <w:t xml:space="preserve">Uhlig（2025）虽然也得出了财政当局协调行动比不协调要好的结论，但他反对任何政策当局的协调行动。他认为，由于潜在财政赤字、免费搭车等原因，政策的协调难以成功。因此，应该从制度构建入手，严格财政当局和货币当局的政策规则，强化《稳定与增长条约》。为防范可能出现的金融危机，应建立强大的银行监管体系。</w:t>
      </w:r>
    </w:p>
    <w:p>
      <w:pPr>
        <w:ind w:left="0" w:right="0" w:firstLine="560"/>
        <w:spacing w:before="450" w:after="450" w:line="312" w:lineRule="auto"/>
      </w:pPr>
      <w:r>
        <w:rPr>
          <w:rFonts w:ascii="宋体" w:hAnsi="宋体" w:eastAsia="宋体" w:cs="宋体"/>
          <w:color w:val="000"/>
          <w:sz w:val="28"/>
          <w:szCs w:val="28"/>
        </w:rPr>
        <w:t xml:space="preserve">三、财政政策与货币政策组合的实证分析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[2]Alvarez， F.， P.J. Kehoe ＆ P.A. Neumeyer， 2025， “The time consistency of optimal monetary and fiscal policies.” Econometri ca 70（2） ： 541 - 567.</w:t>
      </w:r>
    </w:p>
    <w:p>
      <w:pPr>
        <w:ind w:left="0" w:right="0" w:firstLine="560"/>
        <w:spacing w:before="450" w:after="450" w:line="312" w:lineRule="auto"/>
      </w:pPr>
      <w:r>
        <w:rPr>
          <w:rFonts w:ascii="宋体" w:hAnsi="宋体" w:eastAsia="宋体" w:cs="宋体"/>
          <w:color w:val="000"/>
          <w:sz w:val="28"/>
          <w:szCs w:val="28"/>
        </w:rPr>
        <w:t xml:space="preserve">[3]Banerjee， G.， 1997， “Rules and discretion with separate fiscal authorities and a common monetary authority.” Doctoral disserta- tion. Tuscaloosa， AL： University of Alabama.</w:t>
      </w:r>
    </w:p>
    <w:p>
      <w:pPr>
        <w:ind w:left="0" w:right="0" w:firstLine="560"/>
        <w:spacing w:before="450" w:after="450" w:line="312" w:lineRule="auto"/>
      </w:pPr>
      <w:r>
        <w:rPr>
          <w:rFonts w:ascii="宋体" w:hAnsi="宋体" w:eastAsia="宋体" w:cs="宋体"/>
          <w:color w:val="000"/>
          <w:sz w:val="28"/>
          <w:szCs w:val="28"/>
        </w:rPr>
        <w:t xml:space="preserve">[5]Carlo， A.F.， 2025， “How do European monetary and fiscal au thorities behave？ ”， in M Buff， eds， Monetary ＆ Fiscal Policies in EMU： Interactions and Coordination， Cambridge， Pluntin.</w:t>
      </w:r>
    </w:p>
    <w:p>
      <w:pPr>
        <w:ind w:left="0" w:right="0" w:firstLine="560"/>
        <w:spacing w:before="450" w:after="450" w:line="312" w:lineRule="auto"/>
      </w:pPr>
      <w:r>
        <w:rPr>
          <w:rFonts w:ascii="宋体" w:hAnsi="宋体" w:eastAsia="宋体" w:cs="宋体"/>
          <w:color w:val="000"/>
          <w:sz w:val="28"/>
          <w:szCs w:val="28"/>
        </w:rPr>
        <w:t xml:space="preserve">[7]Chari， V.V.＆ P.J.Kehoe， 1999， “Optimal fiscal and monetary policy.” In： J. B. Taylor， Handbook of Macroeconomies. North - Holland， Amsterdam.</w:t>
      </w:r>
    </w:p>
    <w:p>
      <w:pPr>
        <w:ind w:left="0" w:right="0" w:firstLine="560"/>
        <w:spacing w:before="450" w:after="450" w:line="312" w:lineRule="auto"/>
      </w:pPr>
      <w:r>
        <w:rPr>
          <w:rFonts w:ascii="宋体" w:hAnsi="宋体" w:eastAsia="宋体" w:cs="宋体"/>
          <w:color w:val="000"/>
          <w:sz w:val="28"/>
          <w:szCs w:val="28"/>
        </w:rPr>
        <w:t xml:space="preserve">[8]Chari， V.V.＆ P.J.Kehoe， 1998， “On the need for fiscal con straints in a monetary union. ” Federal Reserve Bank of Min neapolis， Working paper， 589.</w:t>
      </w:r>
    </w:p>
    <w:p>
      <w:pPr>
        <w:ind w:left="0" w:right="0" w:firstLine="560"/>
        <w:spacing w:before="450" w:after="450" w:line="312" w:lineRule="auto"/>
      </w:pPr>
      <w:r>
        <w:rPr>
          <w:rFonts w:ascii="宋体" w:hAnsi="宋体" w:eastAsia="宋体" w:cs="宋体"/>
          <w:color w:val="000"/>
          <w:sz w:val="28"/>
          <w:szCs w:val="28"/>
        </w:rPr>
        <w:t xml:space="preserve">[9]Debdll， D. ＆ S. Fisher， 1994， “How independent should a cen tral bank be？” In： J.C.Fuhrer， ed， Goals， Guidelines， and Constraints Facing Monetary Policymakers. Federal Reserve Bank.</w:t>
      </w:r>
    </w:p>
    <w:p>
      <w:pPr>
        <w:ind w:left="0" w:right="0" w:firstLine="560"/>
        <w:spacing w:before="450" w:after="450" w:line="312" w:lineRule="auto"/>
      </w:pPr>
      <w:r>
        <w:rPr>
          <w:rFonts w:ascii="宋体" w:hAnsi="宋体" w:eastAsia="宋体" w:cs="宋体"/>
          <w:color w:val="000"/>
          <w:sz w:val="28"/>
          <w:szCs w:val="28"/>
        </w:rPr>
        <w:t xml:space="preserve">[23]Von-Hagen， J.， A.H.Halletl ＆ R.Strauch， 2025， “Quality and success of budgetary consolidations.” in M Buti， et at.， eds， The Behavior of Fiscal Authorities， Palgrave， Basinystoke， 17 - 38.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2025-06-21T02:38:08+08:00</dcterms:created>
  <dcterms:modified xsi:type="dcterms:W3CDTF">2025-06-21T02:38:08+08:00</dcterms:modified>
</cp:coreProperties>
</file>

<file path=docProps/custom.xml><?xml version="1.0" encoding="utf-8"?>
<Properties xmlns="http://schemas.openxmlformats.org/officeDocument/2006/custom-properties" xmlns:vt="http://schemas.openxmlformats.org/officeDocument/2006/docPropsVTypes"/>
</file>