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财政政策论文：浅论新农村建设的财政政策支持</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浅论新农村建设的财政政策支持，欢迎阅览!社会主义新农村建设是指对农村进行政治、经济、文化、教育、卫生、科技和社会发展等各个领域和诸多环节的建设，它包涵了社会主义物质文明和精神文明两个层次。也是统筹城乡经...</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【摘要】论文网为您整理了财政政策论文：浅论新农村建设的财政政策支持，欢迎阅览!</w:t>
      </w:r>
    </w:p>
    <w:p>
      <w:pPr>
        <w:ind w:left="0" w:right="0" w:firstLine="560"/>
        <w:spacing w:before="450" w:after="450" w:line="312" w:lineRule="auto"/>
      </w:pPr>
      <w:r>
        <w:rPr>
          <w:rFonts w:ascii="宋体" w:hAnsi="宋体" w:eastAsia="宋体" w:cs="宋体"/>
          <w:color w:val="000"/>
          <w:sz w:val="28"/>
          <w:szCs w:val="28"/>
        </w:rPr>
        <w:t xml:space="preserve">社会主义新农村建设是指对农村进行政治、经济、文化、教育、卫生、科技和社会发展等各个领域和诸多环节的建设，它包涵了社会主义物质文明和精神文明两个层次。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一、政府积极为农村公共服务创造条件</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其次，合理利用国债资金和外国政府贷款。再次，鼓励社会团体和个人的福利赞助和捐赠。</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农村地区招生数量，为农村地区培养更多的有用人才，为促进农村地区的经济发展，建设社会主义新农村提供优秀的人才资源。</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上文就是论文网给您带来的财政政策论文：浅论新农村建设的财政政策支持，希望可以更好的帮助到您!!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2025-06-19T10:15:41+08:00</dcterms:created>
  <dcterms:modified xsi:type="dcterms:W3CDTF">2025-06-19T10:15:41+08:00</dcterms:modified>
</cp:coreProperties>
</file>

<file path=docProps/custom.xml><?xml version="1.0" encoding="utf-8"?>
<Properties xmlns="http://schemas.openxmlformats.org/officeDocument/2006/custom-properties" xmlns:vt="http://schemas.openxmlformats.org/officeDocument/2006/docPropsVTypes"/>
</file>