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税收对经理人股票期权激励效应的影响论文</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对经理人股票期权激励效应的影响，希望大家认真阅读，相信对大家能有帮助!一、股票期权的税收决定观与现金报酬不同的是，股票期权不构成经理人现时的收入，它在纳税义务产生的时间和税收负担方面都与现金报酬存在差异。股票期权...</w:t>
      </w:r>
    </w:p>
    <w:p>
      <w:pPr>
        <w:ind w:left="0" w:right="0" w:firstLine="560"/>
        <w:spacing w:before="450" w:after="450" w:line="312" w:lineRule="auto"/>
      </w:pPr>
      <w:r>
        <w:rPr>
          <w:rFonts w:ascii="宋体" w:hAnsi="宋体" w:eastAsia="宋体" w:cs="宋体"/>
          <w:color w:val="000"/>
          <w:sz w:val="28"/>
          <w:szCs w:val="28"/>
        </w:rPr>
        <w:t xml:space="preserve">摘要：论文网为大家整理了税收对经理人股票期权激励效应的影响，希望大家认真阅读，相信对大家能有帮助!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一、股票期权的税收决定观</w:t>
      </w:r>
    </w:p>
    <w:p>
      <w:pPr>
        <w:ind w:left="0" w:right="0" w:firstLine="560"/>
        <w:spacing w:before="450" w:after="450" w:line="312" w:lineRule="auto"/>
      </w:pPr>
      <w:r>
        <w:rPr>
          <w:rFonts w:ascii="宋体" w:hAnsi="宋体" w:eastAsia="宋体" w:cs="宋体"/>
          <w:color w:val="000"/>
          <w:sz w:val="28"/>
          <w:szCs w:val="28"/>
        </w:rPr>
        <w:t xml:space="preserve">与现金报酬不同的是，股票期权不构成经理人现时的收入，它在纳税义务产生的时间和税收负担方面都与现金报酬存在差异。股票期权和现金报酬在会计处理和税收政策上的差异，导致企业不同的会计利润和税收利益。</w:t>
      </w:r>
    </w:p>
    <w:p>
      <w:pPr>
        <w:ind w:left="0" w:right="0" w:firstLine="560"/>
        <w:spacing w:before="450" w:after="450" w:line="312" w:lineRule="auto"/>
      </w:pPr>
      <w:r>
        <w:rPr>
          <w:rFonts w:ascii="宋体" w:hAnsi="宋体" w:eastAsia="宋体" w:cs="宋体"/>
          <w:color w:val="000"/>
          <w:sz w:val="28"/>
          <w:szCs w:val="28"/>
        </w:rPr>
        <w:t xml:space="preserve">长期以来，对股票期权运用于高管薪酬的动因存在两种解释：即激励动因和税收动因。基于“合约观”的股票期权激励动因，认为经理人股票期权是由代表股东利益的董事会决定并授予的，其目的是解决管理者与股东之间在时间视野、风险偏好方面的目标差异，引导经理人的行为更多地服从股东的利益;而基于税收动因的股票期权实施，其目的则是实现企业和经理人综合税收利益的最大化。</w:t>
      </w:r>
    </w:p>
    <w:p>
      <w:pPr>
        <w:ind w:left="0" w:right="0" w:firstLine="560"/>
        <w:spacing w:before="450" w:after="450" w:line="312" w:lineRule="auto"/>
      </w:pPr>
      <w:r>
        <w:rPr>
          <w:rFonts w:ascii="宋体" w:hAnsi="宋体" w:eastAsia="宋体" w:cs="宋体"/>
          <w:color w:val="000"/>
          <w:sz w:val="28"/>
          <w:szCs w:val="28"/>
        </w:rPr>
        <w:t xml:space="preserve">尽管税收动因无法完全解释股票期权实施和变化，但从美国历次税改法案无不伴随企业对经理人薪酬计划的调整过程来看，税收政策对经理人薪酬结构具有决定性的影响，股票期权的实施很大程度上是对经理人和企业税收利益权衡的结果。</w:t>
      </w:r>
    </w:p>
    <w:p>
      <w:pPr>
        <w:ind w:left="0" w:right="0" w:firstLine="560"/>
        <w:spacing w:before="450" w:after="450" w:line="312" w:lineRule="auto"/>
      </w:pPr>
      <w:r>
        <w:rPr>
          <w:rFonts w:ascii="宋体" w:hAnsi="宋体" w:eastAsia="宋体" w:cs="宋体"/>
          <w:color w:val="000"/>
          <w:sz w:val="28"/>
          <w:szCs w:val="28"/>
        </w:rPr>
        <w:t xml:space="preserve">二、股票期权的税收利益及经理人行为</w:t>
      </w:r>
    </w:p>
    <w:p>
      <w:pPr>
        <w:ind w:left="0" w:right="0" w:firstLine="560"/>
        <w:spacing w:before="450" w:after="450" w:line="312" w:lineRule="auto"/>
      </w:pPr>
      <w:r>
        <w:rPr>
          <w:rFonts w:ascii="宋体" w:hAnsi="宋体" w:eastAsia="宋体" w:cs="宋体"/>
          <w:color w:val="000"/>
          <w:sz w:val="28"/>
          <w:szCs w:val="28"/>
        </w:rPr>
        <w:t xml:space="preserve">股票期权被授予之后，因其涉税种类和纳税义务发生的时间不同，而关及个人及企业的不同利益。个人因持有股票期权而带来的收人来源于行权所得股票实际的卖出价与行权价之间的差额，以及持有行权所得股票期间公司派发的红利所得。股票期权涉及的税种包含了个人薪金收入所得税、资本利得税和红利所得税。对企业而言，股票期权作为经理人薪酬的一部分，其能否在税前扣除，直接关系到企业税后所得。从纳税义务发生的时间来看，股票期权涉税的三个关键时间点为：期权授予日、行权日以及行权所得股票卖出日。个人纳税义务发生在行权日和股票卖出日;对企业而言，涉税义务多发生在股票期权的授予日和行权日。个人薪金所得税、资本利得税、红利所得税和企业所得税之间的差异及其变动决定企业和个人税后利益，影响企业与个人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2025-06-21T15:18:00+08:00</dcterms:created>
  <dcterms:modified xsi:type="dcterms:W3CDTF">2025-06-21T15:18:00+08:00</dcterms:modified>
</cp:coreProperties>
</file>

<file path=docProps/custom.xml><?xml version="1.0" encoding="utf-8"?>
<Properties xmlns="http://schemas.openxmlformats.org/officeDocument/2006/custom-properties" xmlns:vt="http://schemas.openxmlformats.org/officeDocument/2006/docPropsVTypes"/>
</file>